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82" w:rsidRDefault="001515AC" w:rsidP="009C6582">
      <w:pPr>
        <w:spacing w:after="12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PROTOKÓŁ NR 11</w:t>
      </w:r>
      <w:r w:rsidR="009844DB" w:rsidRPr="009844DB">
        <w:rPr>
          <w:b/>
          <w:sz w:val="28"/>
          <w:szCs w:val="28"/>
        </w:rPr>
        <w:t>/2016</w:t>
      </w:r>
      <w:r w:rsidR="009844DB" w:rsidRPr="009844DB">
        <w:rPr>
          <w:b/>
          <w:sz w:val="28"/>
          <w:szCs w:val="28"/>
        </w:rPr>
        <w:br/>
      </w:r>
      <w:r w:rsidR="009844DB">
        <w:rPr>
          <w:b/>
        </w:rPr>
        <w:t xml:space="preserve">                  </w:t>
      </w:r>
      <w:r w:rsidR="009844DB" w:rsidRPr="009844DB">
        <w:rPr>
          <w:b/>
          <w:sz w:val="24"/>
          <w:szCs w:val="24"/>
        </w:rPr>
        <w:t xml:space="preserve">z posiedzenia SENACKIEJ KOMISJI DS. DOBRYCH PRAKTYK AKADEMICKICH </w:t>
      </w:r>
      <w:r w:rsidR="009844DB" w:rsidRPr="009844DB">
        <w:rPr>
          <w:b/>
          <w:sz w:val="24"/>
          <w:szCs w:val="24"/>
        </w:rPr>
        <w:br/>
        <w:t>Uniwersytetu Ekonomicznego we Wrocławiu</w:t>
      </w:r>
      <w:r w:rsidR="009844DB" w:rsidRPr="009844DB">
        <w:rPr>
          <w:b/>
          <w:sz w:val="24"/>
          <w:szCs w:val="24"/>
        </w:rPr>
        <w:br/>
        <w:t xml:space="preserve">         </w:t>
      </w:r>
      <w:r w:rsidR="009C6582">
        <w:rPr>
          <w:b/>
          <w:sz w:val="24"/>
          <w:szCs w:val="24"/>
        </w:rPr>
        <w:t xml:space="preserve">       z dnia 25 lutego 2016r.</w:t>
      </w:r>
    </w:p>
    <w:p w:rsidR="00161B52" w:rsidRDefault="009844DB" w:rsidP="00161B52">
      <w:pPr>
        <w:spacing w:after="120"/>
        <w:jc w:val="both"/>
        <w:rPr>
          <w:sz w:val="24"/>
          <w:szCs w:val="24"/>
        </w:rPr>
      </w:pPr>
      <w:r w:rsidRPr="009844DB">
        <w:rPr>
          <w:sz w:val="24"/>
          <w:szCs w:val="24"/>
        </w:rPr>
        <w:t>W posiedzeniu Senackiej Komisji ds. Dobrych Praktyk Akademickich w dniu 25.02.2016r. wz</w:t>
      </w:r>
      <w:r>
        <w:rPr>
          <w:sz w:val="24"/>
          <w:szCs w:val="24"/>
        </w:rPr>
        <w:t xml:space="preserve">ięły udział następujące osoby:  </w:t>
      </w:r>
      <w:r w:rsidRPr="009844DB">
        <w:rPr>
          <w:sz w:val="24"/>
          <w:szCs w:val="24"/>
        </w:rPr>
        <w:t xml:space="preserve">Prof. Tadeusz Borys- Przewodniczący; Prof. Jędrzej </w:t>
      </w:r>
      <w:proofErr w:type="spellStart"/>
      <w:r w:rsidRPr="009844DB">
        <w:rPr>
          <w:sz w:val="24"/>
          <w:szCs w:val="24"/>
        </w:rPr>
        <w:t>Chumiński</w:t>
      </w:r>
      <w:proofErr w:type="spellEnd"/>
      <w:r w:rsidRPr="009844DB">
        <w:rPr>
          <w:sz w:val="24"/>
          <w:szCs w:val="24"/>
        </w:rPr>
        <w:t xml:space="preserve">; Dr hab. Marek Biernacki; prof. Ireneusz </w:t>
      </w:r>
      <w:proofErr w:type="spellStart"/>
      <w:r w:rsidRPr="009844DB">
        <w:rPr>
          <w:sz w:val="24"/>
          <w:szCs w:val="24"/>
        </w:rPr>
        <w:t>Kurop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, Prof. Jerzy Pietkiewicz, Dr </w:t>
      </w:r>
      <w:r w:rsidRPr="009844DB">
        <w:rPr>
          <w:sz w:val="24"/>
          <w:szCs w:val="24"/>
        </w:rPr>
        <w:t>Marian</w:t>
      </w:r>
      <w:r>
        <w:rPr>
          <w:sz w:val="24"/>
          <w:szCs w:val="24"/>
        </w:rPr>
        <w:t xml:space="preserve"> Kruk- </w:t>
      </w:r>
      <w:proofErr w:type="spellStart"/>
      <w:r>
        <w:rPr>
          <w:sz w:val="24"/>
          <w:szCs w:val="24"/>
        </w:rPr>
        <w:t>Ołpiński</w:t>
      </w:r>
      <w:proofErr w:type="spellEnd"/>
      <w:r>
        <w:rPr>
          <w:sz w:val="24"/>
          <w:szCs w:val="24"/>
        </w:rPr>
        <w:t xml:space="preserve"> i Marlena Mazur. </w:t>
      </w:r>
      <w:r w:rsidRPr="009844DB">
        <w:rPr>
          <w:sz w:val="24"/>
          <w:szCs w:val="24"/>
        </w:rPr>
        <w:t>Nieobecny – usprawiedliwiony d</w:t>
      </w:r>
      <w:r w:rsidR="00161B52">
        <w:rPr>
          <w:sz w:val="24"/>
          <w:szCs w:val="24"/>
        </w:rPr>
        <w:t>r Janusz Stanisławski</w:t>
      </w:r>
    </w:p>
    <w:p w:rsidR="009844DB" w:rsidRDefault="009844DB" w:rsidP="00161B52">
      <w:pPr>
        <w:spacing w:after="120"/>
        <w:ind w:firstLine="426"/>
        <w:jc w:val="both"/>
        <w:rPr>
          <w:sz w:val="24"/>
          <w:szCs w:val="24"/>
        </w:rPr>
      </w:pPr>
      <w:bookmarkStart w:id="0" w:name="_GoBack"/>
      <w:bookmarkEnd w:id="0"/>
      <w:r w:rsidRPr="009844DB">
        <w:rPr>
          <w:sz w:val="24"/>
          <w:szCs w:val="24"/>
        </w:rPr>
        <w:t>Posiedzenie otworzył Przewodniczący Komisji i zaproponował</w:t>
      </w:r>
      <w:r>
        <w:rPr>
          <w:sz w:val="24"/>
          <w:szCs w:val="24"/>
        </w:rPr>
        <w:t xml:space="preserve"> następujący przebieg obrad:</w:t>
      </w:r>
    </w:p>
    <w:p w:rsidR="009844DB" w:rsidRDefault="009844DB" w:rsidP="009844DB">
      <w:pPr>
        <w:pStyle w:val="Akapitzlist"/>
        <w:numPr>
          <w:ilvl w:val="0"/>
          <w:numId w:val="2"/>
        </w:numPr>
        <w:spacing w:after="120"/>
        <w:ind w:left="567" w:hanging="283"/>
        <w:rPr>
          <w:sz w:val="24"/>
          <w:szCs w:val="24"/>
        </w:rPr>
      </w:pPr>
      <w:r w:rsidRPr="009844DB">
        <w:rPr>
          <w:sz w:val="24"/>
          <w:szCs w:val="24"/>
        </w:rPr>
        <w:t xml:space="preserve"> Zatwierdzeni</w:t>
      </w:r>
      <w:r>
        <w:rPr>
          <w:sz w:val="24"/>
          <w:szCs w:val="24"/>
        </w:rPr>
        <w:t>e agendy zebrania.</w:t>
      </w:r>
    </w:p>
    <w:p w:rsidR="009844DB" w:rsidRDefault="009844DB" w:rsidP="009844DB">
      <w:pPr>
        <w:pStyle w:val="Akapitzlist"/>
        <w:numPr>
          <w:ilvl w:val="0"/>
          <w:numId w:val="2"/>
        </w:numPr>
        <w:spacing w:after="120"/>
        <w:ind w:left="567" w:hanging="283"/>
        <w:rPr>
          <w:sz w:val="24"/>
          <w:szCs w:val="24"/>
        </w:rPr>
      </w:pPr>
      <w:r w:rsidRPr="009844DB">
        <w:rPr>
          <w:sz w:val="24"/>
          <w:szCs w:val="24"/>
        </w:rPr>
        <w:t>Przyjęcie protokołu z pop</w:t>
      </w:r>
      <w:r>
        <w:rPr>
          <w:sz w:val="24"/>
          <w:szCs w:val="24"/>
        </w:rPr>
        <w:t xml:space="preserve">rzedniego zebrania Komisji. </w:t>
      </w:r>
    </w:p>
    <w:p w:rsidR="009844DB" w:rsidRDefault="009844DB" w:rsidP="009844DB">
      <w:pPr>
        <w:pStyle w:val="Akapitzlist"/>
        <w:numPr>
          <w:ilvl w:val="0"/>
          <w:numId w:val="2"/>
        </w:numPr>
        <w:spacing w:after="120"/>
        <w:ind w:left="567" w:hanging="283"/>
        <w:rPr>
          <w:sz w:val="24"/>
          <w:szCs w:val="24"/>
        </w:rPr>
      </w:pPr>
      <w:r w:rsidRPr="009844DB">
        <w:rPr>
          <w:sz w:val="24"/>
          <w:szCs w:val="24"/>
        </w:rPr>
        <w:t>Ocena procesu pogłębionej konsultacji „Białej Księgi Uniwersytet</w:t>
      </w:r>
      <w:r>
        <w:rPr>
          <w:sz w:val="24"/>
          <w:szCs w:val="24"/>
        </w:rPr>
        <w:t>u”- koordynatorzy wydziałowi</w:t>
      </w:r>
    </w:p>
    <w:p w:rsidR="009844DB" w:rsidRDefault="009844DB" w:rsidP="009844DB">
      <w:pPr>
        <w:pStyle w:val="Akapitzlist"/>
        <w:numPr>
          <w:ilvl w:val="0"/>
          <w:numId w:val="2"/>
        </w:numPr>
        <w:spacing w:after="120"/>
        <w:ind w:left="567" w:hanging="283"/>
        <w:rPr>
          <w:sz w:val="24"/>
          <w:szCs w:val="24"/>
        </w:rPr>
      </w:pPr>
      <w:r w:rsidRPr="009844DB">
        <w:rPr>
          <w:sz w:val="24"/>
          <w:szCs w:val="24"/>
        </w:rPr>
        <w:t>Przyjęcie stanowiska Komisji w sprawie zapisów statutu dotyczących wielkości katedr- ref.</w:t>
      </w:r>
      <w:r>
        <w:rPr>
          <w:sz w:val="24"/>
          <w:szCs w:val="24"/>
        </w:rPr>
        <w:t xml:space="preserve"> prof. Jędrzej </w:t>
      </w:r>
      <w:proofErr w:type="spellStart"/>
      <w:r>
        <w:rPr>
          <w:sz w:val="24"/>
          <w:szCs w:val="24"/>
        </w:rPr>
        <w:t>Chumiński</w:t>
      </w:r>
      <w:proofErr w:type="spellEnd"/>
    </w:p>
    <w:p w:rsidR="00161B52" w:rsidRDefault="009844DB" w:rsidP="00161B52">
      <w:pPr>
        <w:pStyle w:val="Akapitzlist"/>
        <w:numPr>
          <w:ilvl w:val="0"/>
          <w:numId w:val="2"/>
        </w:numPr>
        <w:spacing w:after="120"/>
        <w:ind w:left="567" w:hanging="283"/>
        <w:rPr>
          <w:sz w:val="24"/>
          <w:szCs w:val="24"/>
        </w:rPr>
      </w:pPr>
      <w:r w:rsidRPr="009844DB">
        <w:rPr>
          <w:sz w:val="24"/>
          <w:szCs w:val="24"/>
        </w:rPr>
        <w:t xml:space="preserve"> Dyskusja nt. „Kodeksu etycz</w:t>
      </w:r>
      <w:r>
        <w:rPr>
          <w:sz w:val="24"/>
          <w:szCs w:val="24"/>
        </w:rPr>
        <w:t xml:space="preserve">nego”, zwłaszcza w kontekście: </w:t>
      </w:r>
      <w:r w:rsidRPr="009844DB">
        <w:rPr>
          <w:sz w:val="24"/>
          <w:szCs w:val="24"/>
        </w:rPr>
        <w:t>inspiracji płynących z efektów kształcenia (zwłaszcza z kierunkowych i specjalnościowych kompetencji społecznych-</w:t>
      </w:r>
      <w:r>
        <w:rPr>
          <w:sz w:val="24"/>
          <w:szCs w:val="24"/>
        </w:rPr>
        <w:t xml:space="preserve"> ref.  Dr Janusz Stanisławski); </w:t>
      </w:r>
      <w:r w:rsidRPr="009844DB">
        <w:rPr>
          <w:sz w:val="24"/>
          <w:szCs w:val="24"/>
        </w:rPr>
        <w:t>„Europejskiej Karty Naukowc</w:t>
      </w:r>
      <w:r>
        <w:rPr>
          <w:sz w:val="24"/>
          <w:szCs w:val="24"/>
        </w:rPr>
        <w:t>a”-ref.</w:t>
      </w:r>
      <w:r w:rsidR="001515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prof. Jerzy Pietkiewicz; </w:t>
      </w:r>
      <w:r w:rsidRPr="009844DB">
        <w:rPr>
          <w:sz w:val="24"/>
          <w:szCs w:val="24"/>
        </w:rPr>
        <w:t>„Kodeksu etyki pracownika naukowego” (w z</w:t>
      </w:r>
      <w:r w:rsidR="001515AC">
        <w:rPr>
          <w:sz w:val="24"/>
          <w:szCs w:val="24"/>
        </w:rPr>
        <w:t>ał.)- ref. p</w:t>
      </w:r>
      <w:r>
        <w:rPr>
          <w:sz w:val="24"/>
          <w:szCs w:val="24"/>
        </w:rPr>
        <w:t>rof.  Tadeusz Borys.</w:t>
      </w:r>
    </w:p>
    <w:p w:rsidR="009844DB" w:rsidRPr="00161B52" w:rsidRDefault="009844DB" w:rsidP="00161B52">
      <w:pPr>
        <w:pStyle w:val="Akapitzlist"/>
        <w:numPr>
          <w:ilvl w:val="0"/>
          <w:numId w:val="2"/>
        </w:numPr>
        <w:spacing w:after="120"/>
        <w:ind w:left="567" w:hanging="283"/>
        <w:rPr>
          <w:sz w:val="24"/>
          <w:szCs w:val="24"/>
        </w:rPr>
      </w:pPr>
      <w:r w:rsidRPr="00161B52">
        <w:rPr>
          <w:sz w:val="24"/>
          <w:szCs w:val="24"/>
        </w:rPr>
        <w:t>Sprawy różne</w:t>
      </w:r>
      <w:r w:rsidRPr="00161B52">
        <w:rPr>
          <w:sz w:val="24"/>
          <w:szCs w:val="24"/>
        </w:rPr>
        <w:br/>
      </w:r>
      <w:r w:rsidRPr="00161B52">
        <w:rPr>
          <w:sz w:val="24"/>
          <w:szCs w:val="24"/>
        </w:rPr>
        <w:br/>
      </w:r>
      <w:r w:rsidRPr="00161B52">
        <w:rPr>
          <w:b/>
          <w:sz w:val="24"/>
          <w:szCs w:val="24"/>
        </w:rPr>
        <w:t>Ad.1.</w:t>
      </w:r>
      <w:r w:rsidRPr="00161B52">
        <w:rPr>
          <w:b/>
          <w:sz w:val="24"/>
          <w:szCs w:val="24"/>
        </w:rPr>
        <w:br/>
      </w:r>
      <w:r w:rsidRPr="00161B52">
        <w:rPr>
          <w:sz w:val="24"/>
          <w:szCs w:val="24"/>
        </w:rPr>
        <w:t>Członkowie Senackiej Komisji ds. Dobrych Praktyk Akademickich w głosowaniu jawnym, jednogłośnie przyjęli zaproponowany porządek obrad.</w:t>
      </w:r>
      <w:r w:rsidRPr="00161B52">
        <w:rPr>
          <w:sz w:val="24"/>
          <w:szCs w:val="24"/>
        </w:rPr>
        <w:br/>
      </w:r>
      <w:r w:rsidRPr="00161B52">
        <w:rPr>
          <w:sz w:val="24"/>
          <w:szCs w:val="24"/>
        </w:rPr>
        <w:br/>
      </w:r>
      <w:r w:rsidRPr="00161B52">
        <w:rPr>
          <w:b/>
          <w:sz w:val="24"/>
          <w:szCs w:val="24"/>
        </w:rPr>
        <w:t>Ad.2.</w:t>
      </w:r>
      <w:r w:rsidRPr="00161B52">
        <w:rPr>
          <w:b/>
          <w:sz w:val="24"/>
          <w:szCs w:val="24"/>
        </w:rPr>
        <w:br/>
      </w:r>
      <w:r w:rsidRPr="00161B52">
        <w:rPr>
          <w:sz w:val="24"/>
          <w:szCs w:val="24"/>
        </w:rPr>
        <w:t>Członkowie Senackiej Komisji ds. Dobrych Praktyk Akademickich w jawnym głosowaniu jednomyślnie przyjęli protokół z poprzedniego zebrania.</w:t>
      </w:r>
      <w:r w:rsidRPr="00161B52">
        <w:rPr>
          <w:sz w:val="24"/>
          <w:szCs w:val="24"/>
        </w:rPr>
        <w:br/>
      </w:r>
      <w:r w:rsidRPr="00161B52">
        <w:rPr>
          <w:sz w:val="24"/>
          <w:szCs w:val="24"/>
        </w:rPr>
        <w:br/>
      </w:r>
      <w:r w:rsidRPr="00161B52">
        <w:rPr>
          <w:b/>
          <w:sz w:val="24"/>
          <w:szCs w:val="24"/>
        </w:rPr>
        <w:t>Ad.3.</w:t>
      </w:r>
      <w:r w:rsidRPr="00161B52">
        <w:rPr>
          <w:sz w:val="24"/>
          <w:szCs w:val="24"/>
        </w:rPr>
        <w:t xml:space="preserve"> </w:t>
      </w:r>
      <w:r w:rsidRPr="00161B52">
        <w:rPr>
          <w:sz w:val="24"/>
          <w:szCs w:val="24"/>
        </w:rPr>
        <w:br/>
        <w:t>Przeprowadzone zostały pogłębione konsultacje „Białej Księgi” wśród osób, które zostały wskazane na poprzednim posiedzeniu Komisji. Wyklarowały się następujące uwagi oraz wskazówki:</w:t>
      </w:r>
    </w:p>
    <w:p w:rsidR="009844DB" w:rsidRDefault="009844DB" w:rsidP="009844DB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9844DB">
        <w:rPr>
          <w:b/>
          <w:sz w:val="24"/>
          <w:szCs w:val="24"/>
        </w:rPr>
        <w:t xml:space="preserve">Wydział Nauk Ekonomicznych: </w:t>
      </w:r>
      <w:r w:rsidRPr="009844DB">
        <w:rPr>
          <w:sz w:val="24"/>
          <w:szCs w:val="24"/>
        </w:rPr>
        <w:t xml:space="preserve">kilka osób przekazało informację zwrotną, w głównej mierze były to jednak podziękowania za włożoną pracę w stworzenie Białej Księgi. Zgłoszone uwagi zwykle nie odnosiły się do części merytorycznej. Wskazano, iż warto Białą Księgę zaprezentować przed zbliżającymi się wyborami. Uwagi: w małym stopniu podkreślony został aspekt akademicki oraz praktyczny Uniwersytetu Ekonomicznego we </w:t>
      </w:r>
      <w:r w:rsidRPr="009844DB">
        <w:rPr>
          <w:sz w:val="24"/>
          <w:szCs w:val="24"/>
        </w:rPr>
        <w:lastRenderedPageBreak/>
        <w:t>Wrocławiu. Biała Księga nie powinna uwzględniać elementów Strategii, co w dyskusji uznano za głos wielce dyskusyjny. Pominięta została także kwestia praw autorskich.</w:t>
      </w:r>
    </w:p>
    <w:p w:rsidR="009844DB" w:rsidRDefault="009844DB" w:rsidP="009844DB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9844DB">
        <w:rPr>
          <w:b/>
          <w:sz w:val="24"/>
          <w:szCs w:val="24"/>
        </w:rPr>
        <w:t>Wydział Inżynieryjno-Ekonomiczny</w:t>
      </w:r>
      <w:r w:rsidRPr="009844DB">
        <w:rPr>
          <w:sz w:val="24"/>
          <w:szCs w:val="24"/>
        </w:rPr>
        <w:t>: pismo zostało przesłane do 8 osób, czekamy wciąż na odpowiedź; część osób wysłało swoje uwagi do Przewodniczącego Komisji.</w:t>
      </w:r>
    </w:p>
    <w:p w:rsidR="009844DB" w:rsidRDefault="009844DB" w:rsidP="009844DB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9844DB">
        <w:rPr>
          <w:b/>
          <w:sz w:val="24"/>
          <w:szCs w:val="24"/>
        </w:rPr>
        <w:t>Wydział Zarządzania, Informatyki i Finansów</w:t>
      </w:r>
      <w:r w:rsidRPr="009844DB">
        <w:rPr>
          <w:sz w:val="24"/>
          <w:szCs w:val="24"/>
        </w:rPr>
        <w:t>: dokument został wys</w:t>
      </w:r>
      <w:r>
        <w:rPr>
          <w:sz w:val="24"/>
          <w:szCs w:val="24"/>
        </w:rPr>
        <w:t xml:space="preserve">łany do dwóch osób, zdecydowano, że </w:t>
      </w:r>
      <w:r w:rsidRPr="009844DB">
        <w:rPr>
          <w:sz w:val="24"/>
          <w:szCs w:val="24"/>
        </w:rPr>
        <w:t xml:space="preserve"> trzeba go jeszcze udostępnić szerszej grupie. </w:t>
      </w:r>
    </w:p>
    <w:p w:rsidR="009844DB" w:rsidRDefault="009844DB" w:rsidP="009844DB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sz w:val="24"/>
          <w:szCs w:val="24"/>
        </w:rPr>
      </w:pPr>
      <w:r w:rsidRPr="009844DB">
        <w:rPr>
          <w:b/>
          <w:sz w:val="24"/>
          <w:szCs w:val="24"/>
        </w:rPr>
        <w:t>Wydział Ekonomii, Zarządzania i Turystyki w Jeleniej Górze</w:t>
      </w:r>
      <w:r w:rsidRPr="009844DB">
        <w:rPr>
          <w:sz w:val="24"/>
          <w:szCs w:val="24"/>
        </w:rPr>
        <w:t>: dokument został udostępniony 23 osobom.  Zebrane odpowiedzi były w dużej mierze uzupełnieniem postulatów zamieszczonych w Białej</w:t>
      </w:r>
      <w:r>
        <w:rPr>
          <w:sz w:val="24"/>
          <w:szCs w:val="24"/>
        </w:rPr>
        <w:t xml:space="preserve"> Księdze.</w:t>
      </w:r>
    </w:p>
    <w:p w:rsidR="009844DB" w:rsidRPr="009844DB" w:rsidRDefault="009844DB" w:rsidP="00161B52">
      <w:pPr>
        <w:pStyle w:val="Akapitzlist"/>
        <w:spacing w:after="120"/>
        <w:ind w:left="284" w:hanging="284"/>
        <w:jc w:val="both"/>
        <w:rPr>
          <w:sz w:val="24"/>
          <w:szCs w:val="24"/>
        </w:rPr>
      </w:pPr>
      <w:r w:rsidRPr="009844DB">
        <w:rPr>
          <w:b/>
          <w:sz w:val="24"/>
          <w:szCs w:val="24"/>
        </w:rPr>
        <w:t>Ad.4.</w:t>
      </w:r>
      <w:r w:rsidRPr="009844DB">
        <w:rPr>
          <w:sz w:val="24"/>
          <w:szCs w:val="24"/>
        </w:rPr>
        <w:t xml:space="preserve"> </w:t>
      </w:r>
      <w:r w:rsidRPr="009844DB">
        <w:rPr>
          <w:sz w:val="24"/>
          <w:szCs w:val="24"/>
        </w:rPr>
        <w:br/>
        <w:t>Po</w:t>
      </w:r>
      <w:r>
        <w:rPr>
          <w:sz w:val="24"/>
          <w:szCs w:val="24"/>
        </w:rPr>
        <w:t xml:space="preserve">djęta została dyskusja dotycząca stanowiska Komisji w sprawie </w:t>
      </w:r>
      <w:r w:rsidRPr="009844DB">
        <w:rPr>
          <w:sz w:val="24"/>
          <w:szCs w:val="24"/>
        </w:rPr>
        <w:t xml:space="preserve"> wielkości katedr. Członkowie Komisji doszli do wniosku, iż należy wypracować jednoznaczne stanowisko, które będzie uwzględniało wiele aspektów tego problemu. Warto wziąć pod uwagę istniejące problemy oraz określić możliwe rozwiązania, kierunki, w których chcemy podążać. Dyskusja została przeniesiona na zebranie wyjazdowe</w:t>
      </w:r>
      <w:r w:rsidR="001515AC">
        <w:rPr>
          <w:sz w:val="24"/>
          <w:szCs w:val="24"/>
        </w:rPr>
        <w:t xml:space="preserve"> Komisji, które odbędzie się w </w:t>
      </w:r>
      <w:r w:rsidRPr="009844DB">
        <w:rPr>
          <w:sz w:val="24"/>
          <w:szCs w:val="24"/>
        </w:rPr>
        <w:t xml:space="preserve"> dniach 8-9 marca br. w Karpaczu</w:t>
      </w:r>
      <w:r w:rsidR="000E16DF">
        <w:rPr>
          <w:sz w:val="24"/>
          <w:szCs w:val="24"/>
        </w:rPr>
        <w:t xml:space="preserve"> (</w:t>
      </w:r>
      <w:r w:rsidR="00161B52" w:rsidRPr="00161B52">
        <w:rPr>
          <w:b/>
          <w:sz w:val="24"/>
          <w:szCs w:val="24"/>
        </w:rPr>
        <w:t>zał. 1</w:t>
      </w:r>
      <w:r w:rsidR="000E16DF" w:rsidRPr="00161B52">
        <w:rPr>
          <w:sz w:val="24"/>
          <w:szCs w:val="24"/>
        </w:rPr>
        <w:t>)</w:t>
      </w:r>
      <w:r w:rsidRPr="00161B52">
        <w:rPr>
          <w:sz w:val="24"/>
          <w:szCs w:val="24"/>
        </w:rPr>
        <w:t>.</w:t>
      </w:r>
    </w:p>
    <w:p w:rsidR="009844DB" w:rsidRDefault="009844DB" w:rsidP="005E47CC">
      <w:pPr>
        <w:spacing w:after="120"/>
        <w:jc w:val="both"/>
        <w:rPr>
          <w:sz w:val="24"/>
          <w:szCs w:val="24"/>
        </w:rPr>
      </w:pPr>
      <w:r w:rsidRPr="009844DB">
        <w:rPr>
          <w:b/>
          <w:sz w:val="24"/>
          <w:szCs w:val="24"/>
        </w:rPr>
        <w:t>Ad.5.</w:t>
      </w:r>
      <w:r w:rsidRPr="009844DB">
        <w:rPr>
          <w:sz w:val="24"/>
          <w:szCs w:val="24"/>
        </w:rPr>
        <w:br/>
      </w:r>
      <w:r w:rsidR="005E47CC" w:rsidRPr="005E47CC">
        <w:rPr>
          <w:sz w:val="24"/>
          <w:szCs w:val="24"/>
        </w:rPr>
        <w:t>Dyskusja nt. „Kodeksu etycznego”, zwłaszcza w kontekście: inspiracji płynących z efektów kształcenia (zwłaszcza z kierunkowych i specjalnościowych kompetencji społecznych</w:t>
      </w:r>
      <w:r w:rsidR="005E47CC">
        <w:rPr>
          <w:sz w:val="24"/>
          <w:szCs w:val="24"/>
        </w:rPr>
        <w:t>) nie odbyła się, ze względu na nieobecność d</w:t>
      </w:r>
      <w:r w:rsidR="005E47CC" w:rsidRPr="005E47CC">
        <w:rPr>
          <w:sz w:val="24"/>
          <w:szCs w:val="24"/>
        </w:rPr>
        <w:t>r Janusz</w:t>
      </w:r>
      <w:r w:rsidR="005E47CC">
        <w:rPr>
          <w:sz w:val="24"/>
          <w:szCs w:val="24"/>
        </w:rPr>
        <w:t>a Stanisławskiego. P</w:t>
      </w:r>
      <w:r w:rsidR="005E47CC" w:rsidRPr="005E47CC">
        <w:rPr>
          <w:sz w:val="24"/>
          <w:szCs w:val="24"/>
        </w:rPr>
        <w:t xml:space="preserve">rof. Jerzy Pietkiewicz; </w:t>
      </w:r>
      <w:r w:rsidR="005E47CC">
        <w:rPr>
          <w:sz w:val="24"/>
          <w:szCs w:val="24"/>
        </w:rPr>
        <w:t xml:space="preserve">przedstawił  ważniejsze zapisy </w:t>
      </w:r>
      <w:r w:rsidR="005E47CC" w:rsidRPr="005E47CC">
        <w:rPr>
          <w:sz w:val="24"/>
          <w:szCs w:val="24"/>
        </w:rPr>
        <w:t>„Europejskiej Karty Naukowca”</w:t>
      </w:r>
      <w:r w:rsidR="005E47CC">
        <w:rPr>
          <w:sz w:val="24"/>
          <w:szCs w:val="24"/>
        </w:rPr>
        <w:t xml:space="preserve">. Uznając  ten dokument za bardzo wartościowy dla społeczności akademickiej. </w:t>
      </w:r>
      <w:r w:rsidR="005E47CC" w:rsidRPr="005E47CC">
        <w:rPr>
          <w:sz w:val="24"/>
          <w:szCs w:val="24"/>
        </w:rPr>
        <w:t>Prof.  Tad</w:t>
      </w:r>
      <w:r w:rsidR="005E47CC">
        <w:rPr>
          <w:sz w:val="24"/>
          <w:szCs w:val="24"/>
        </w:rPr>
        <w:t>eusz Borys stwierdził, że obecna dyskusja nad „Kodeksem</w:t>
      </w:r>
      <w:r w:rsidR="005E47CC" w:rsidRPr="005E47CC">
        <w:rPr>
          <w:sz w:val="24"/>
          <w:szCs w:val="24"/>
        </w:rPr>
        <w:t xml:space="preserve"> </w:t>
      </w:r>
      <w:r w:rsidR="005E47CC">
        <w:rPr>
          <w:sz w:val="24"/>
          <w:szCs w:val="24"/>
        </w:rPr>
        <w:t>etyki pracownika naukowego” pozwoli na szybkie rozpowszechnienie tego dokumentu wśród pracowników UE i nie ma – wg Przewodniczącego Komisji -  obecnie uzasadnienia dla opracowywania własnej wersji tego Kodeksu. Członkowie Komisji podzielili ten pogląd. Postanowiono, że d</w:t>
      </w:r>
      <w:r w:rsidRPr="009844DB">
        <w:rPr>
          <w:sz w:val="24"/>
          <w:szCs w:val="24"/>
        </w:rPr>
        <w:t>okumenty zostaną udostępnione na stronie internetowej Uniwersytetu Ekonomicznego we Wrocławiu.</w:t>
      </w:r>
      <w:r w:rsidRPr="009844DB">
        <w:rPr>
          <w:sz w:val="24"/>
          <w:szCs w:val="24"/>
        </w:rPr>
        <w:br/>
      </w:r>
    </w:p>
    <w:p w:rsidR="005E47CC" w:rsidRDefault="005E47CC" w:rsidP="005E47CC">
      <w:pPr>
        <w:spacing w:after="120"/>
        <w:jc w:val="both"/>
        <w:rPr>
          <w:b/>
          <w:sz w:val="24"/>
          <w:szCs w:val="24"/>
        </w:rPr>
      </w:pPr>
      <w:r w:rsidRPr="005E47CC">
        <w:rPr>
          <w:b/>
          <w:sz w:val="24"/>
          <w:szCs w:val="24"/>
        </w:rPr>
        <w:t xml:space="preserve">Ad.6. </w:t>
      </w:r>
    </w:p>
    <w:p w:rsidR="005E47CC" w:rsidRPr="005E47CC" w:rsidRDefault="005E47CC" w:rsidP="005E47CC">
      <w:pPr>
        <w:spacing w:after="120"/>
        <w:jc w:val="both"/>
        <w:rPr>
          <w:b/>
          <w:sz w:val="24"/>
          <w:szCs w:val="24"/>
        </w:rPr>
      </w:pPr>
      <w:r w:rsidRPr="005E47CC">
        <w:rPr>
          <w:sz w:val="24"/>
          <w:szCs w:val="24"/>
        </w:rPr>
        <w:t>W sprawach różnych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Przewodniczącego Komisji przedstawił propozycję Agendy  wyjazdowego  zebrania Komisji  DPA, które odbędzie się w </w:t>
      </w:r>
      <w:r w:rsidR="009C6582">
        <w:rPr>
          <w:sz w:val="24"/>
          <w:szCs w:val="24"/>
        </w:rPr>
        <w:t>dniach 8-9 marca br. w Karpaczu która przewiduje:</w:t>
      </w:r>
      <w:r>
        <w:rPr>
          <w:sz w:val="24"/>
          <w:szCs w:val="24"/>
        </w:rPr>
        <w:t xml:space="preserve"> </w:t>
      </w:r>
    </w:p>
    <w:p w:rsidR="009C6582" w:rsidRDefault="009C6582" w:rsidP="009C6582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Omówienie wyników pogłębionego sondażu w poszczególnych  grupach pracowniczych  i na wydziałach UE do projektu</w:t>
      </w:r>
      <w:r>
        <w:rPr>
          <w:rFonts w:ascii="Arial" w:eastAsia="Times New Roman" w:hAnsi="Arial" w:cs="Arial"/>
          <w:b/>
        </w:rPr>
        <w:t xml:space="preserve"> BIAŁEJ KSIĘGI </w:t>
      </w:r>
      <w:r>
        <w:rPr>
          <w:rFonts w:ascii="Arial" w:eastAsia="Times New Roman" w:hAnsi="Arial" w:cs="Arial"/>
        </w:rPr>
        <w:t xml:space="preserve">Uniwersytetu Ekonomicznego (dobre i złe praktyki akademickie). </w:t>
      </w:r>
    </w:p>
    <w:p w:rsidR="009C6582" w:rsidRDefault="009C6582" w:rsidP="009C6582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Przyjęcie ostatecznej wersji </w:t>
      </w:r>
      <w:r>
        <w:rPr>
          <w:rFonts w:ascii="Arial" w:eastAsia="Times New Roman" w:hAnsi="Arial" w:cs="Arial"/>
          <w:b/>
        </w:rPr>
        <w:t xml:space="preserve">BIAŁEJ KSIĘGI </w:t>
      </w:r>
      <w:r>
        <w:rPr>
          <w:rFonts w:ascii="Arial" w:eastAsia="Times New Roman" w:hAnsi="Arial" w:cs="Arial"/>
        </w:rPr>
        <w:t xml:space="preserve"> UE wraz z załącznikami, w tym przyjęcie stanowiska w sprawie łączenia katedr.</w:t>
      </w:r>
    </w:p>
    <w:p w:rsidR="009C6582" w:rsidRDefault="009C6582" w:rsidP="009C6582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Ustalenie sposobu wykorzystania i upowszechnienia </w:t>
      </w:r>
      <w:r>
        <w:rPr>
          <w:rFonts w:ascii="Arial" w:eastAsia="Times New Roman" w:hAnsi="Arial" w:cs="Arial"/>
          <w:b/>
        </w:rPr>
        <w:t xml:space="preserve">BIAŁEJ KSIĘGI </w:t>
      </w:r>
      <w:r>
        <w:rPr>
          <w:rFonts w:ascii="Arial" w:eastAsia="Times New Roman" w:hAnsi="Arial" w:cs="Arial"/>
        </w:rPr>
        <w:t xml:space="preserve"> UE w społeczności akademickiej UE – jako narzędzia monitorowania funkcjonowania  Uniwersytetu.</w:t>
      </w:r>
    </w:p>
    <w:p w:rsidR="009C6582" w:rsidRDefault="009C6582" w:rsidP="009C6582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Członkowie Komisji nie wnieśli uwag do zaproponowanego porządku posiedzenia w Karpaczu.</w:t>
      </w:r>
    </w:p>
    <w:p w:rsidR="009C6582" w:rsidRDefault="009C6582" w:rsidP="009C6582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Na tym posiedzenie Komisji zakończono. </w:t>
      </w:r>
    </w:p>
    <w:p w:rsidR="009C6582" w:rsidRPr="006F493C" w:rsidRDefault="009C6582" w:rsidP="009C6582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r w:rsidRPr="006F493C">
        <w:rPr>
          <w:rFonts w:ascii="Arial" w:eastAsia="Times New Roman" w:hAnsi="Arial" w:cs="Arial"/>
          <w:b/>
        </w:rPr>
        <w:t xml:space="preserve">Przewodniczący Komisji </w:t>
      </w:r>
    </w:p>
    <w:p w:rsidR="009C6582" w:rsidRPr="006F493C" w:rsidRDefault="009C6582" w:rsidP="009C6582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r w:rsidRPr="006F493C">
        <w:rPr>
          <w:rFonts w:ascii="Arial" w:eastAsia="Times New Roman" w:hAnsi="Arial" w:cs="Arial"/>
          <w:b/>
        </w:rPr>
        <w:t>Prof. Tadeusz Borys</w:t>
      </w:r>
    </w:p>
    <w:p w:rsidR="009C6582" w:rsidRPr="00161B52" w:rsidRDefault="00161B52" w:rsidP="00161B5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</w:rPr>
      </w:pPr>
      <w:r w:rsidRPr="00161B52">
        <w:rPr>
          <w:rFonts w:ascii="Arial" w:eastAsia="Times New Roman" w:hAnsi="Arial" w:cs="Arial"/>
          <w:b/>
        </w:rPr>
        <w:t xml:space="preserve">Zał. 1. </w:t>
      </w:r>
    </w:p>
    <w:p w:rsidR="00161B52" w:rsidRDefault="00161B52" w:rsidP="00161B52">
      <w:pPr>
        <w:pStyle w:val="Tekstpodstawowy"/>
        <w:spacing w:line="276" w:lineRule="auto"/>
        <w:rPr>
          <w:rFonts w:asciiTheme="minorHAnsi" w:hAnsiTheme="minorHAnsi"/>
          <w:b/>
        </w:rPr>
      </w:pPr>
      <w:r w:rsidRPr="00161B52">
        <w:rPr>
          <w:rFonts w:asciiTheme="minorHAnsi" w:hAnsiTheme="minorHAnsi"/>
          <w:b/>
        </w:rPr>
        <w:t xml:space="preserve">Projekt stanowiska Komisji ds. Dobrych Praktyk Akademickich w sprawie realizacji paragrafu 8 </w:t>
      </w:r>
    </w:p>
    <w:p w:rsidR="00161B52" w:rsidRPr="00161B52" w:rsidRDefault="00161B52" w:rsidP="00161B52">
      <w:pPr>
        <w:pStyle w:val="Tekstpodstawowy"/>
        <w:spacing w:line="276" w:lineRule="auto"/>
        <w:rPr>
          <w:rFonts w:asciiTheme="minorHAnsi" w:hAnsiTheme="minorHAnsi"/>
          <w:b/>
        </w:rPr>
      </w:pPr>
      <w:r w:rsidRPr="00161B52">
        <w:rPr>
          <w:rFonts w:asciiTheme="minorHAnsi" w:hAnsiTheme="minorHAnsi"/>
          <w:b/>
        </w:rPr>
        <w:t>Statutu Uniwersytetu Ekonomicznego we Wrocławiu</w:t>
      </w:r>
    </w:p>
    <w:p w:rsidR="00161B52" w:rsidRPr="00161B52" w:rsidRDefault="00161B52" w:rsidP="00161B52">
      <w:pPr>
        <w:pStyle w:val="Tekstpodstawowy2"/>
        <w:spacing w:line="276" w:lineRule="auto"/>
        <w:rPr>
          <w:rFonts w:asciiTheme="minorHAnsi" w:hAnsiTheme="minorHAnsi"/>
        </w:rPr>
      </w:pPr>
      <w:r w:rsidRPr="00161B52">
        <w:rPr>
          <w:rFonts w:asciiTheme="minorHAnsi" w:hAnsiTheme="minorHAnsi"/>
        </w:rPr>
        <w:t>Komisja ds. Dobrych Praktyk Akademickich zwraca uwagę, że problem liczebności katedr dotyka w sposób bezpośredni wszystkich pracowników naukowo-dydaktycznych naszej Uczelni. Stabilizacja zatrudnienia w katedrach ma bowiem wpływ na ukierunkowanie rozwoju naukowego pracowników, ich specjalizację dydaktyczną, ale również na komfort pracy związany z tworzeniem się prawidłowych relacji międzyludzkich. Przyjęty w statucie Uczelni wymóg zatrudnienia 8 pracowników w katedrze oznacza, że struktura uczelni będzie podlegać permanentnym zmianom. Większość katedr spełnia bowiem wymogi statutowe w minimalnym zakresie, co przy naturalnym wśród pracowników naukowych procesie rotacji (z powodu ocen pracowniczych, nie dotrzymania terminów awansów naukowych, przejścia na emeryturę itd.), oznaczać będzie, konieczność niemal stałego monitorowania sytuacji i podejmowania działań związanych likwidacją i łączeniem katedr nie spełniających wymogów statutowych.</w:t>
      </w:r>
    </w:p>
    <w:p w:rsidR="00161B52" w:rsidRPr="00161B52" w:rsidRDefault="00161B52" w:rsidP="00161B52">
      <w:pPr>
        <w:jc w:val="both"/>
        <w:rPr>
          <w:sz w:val="24"/>
          <w:szCs w:val="24"/>
        </w:rPr>
      </w:pPr>
      <w:r w:rsidRPr="00161B52">
        <w:rPr>
          <w:sz w:val="24"/>
          <w:szCs w:val="24"/>
        </w:rPr>
        <w:t xml:space="preserve">Wydaje się zatem, że proces ten winien mieć sformalizowany tryb i opierać się o znane wszystkim pracownikom zasady. Trzeba podkreślić, że odmiennie niż w statutach większości uczelni statut naszego Uniwersytetu nie regulacji tych kwestii. Konieczne jest zatem   opracowanie przez Rektora zarządzenia, które regulowałoby sposób postępowania w sytuacji, kiedy katedra utraci wymaganą statutem liczebność. </w:t>
      </w:r>
    </w:p>
    <w:p w:rsidR="00161B52" w:rsidRPr="00161B52" w:rsidRDefault="00161B52" w:rsidP="00161B52">
      <w:pPr>
        <w:jc w:val="both"/>
        <w:rPr>
          <w:sz w:val="24"/>
          <w:szCs w:val="24"/>
        </w:rPr>
      </w:pPr>
      <w:r w:rsidRPr="00161B52">
        <w:rPr>
          <w:sz w:val="24"/>
          <w:szCs w:val="24"/>
        </w:rPr>
        <w:t xml:space="preserve">Zdaniem Komisji ds. Dobrych Praktyk Akademickich zarządzenie te winno uwzględniać następujące rozwiązania:              </w:t>
      </w:r>
    </w:p>
    <w:p w:rsidR="00161B52" w:rsidRPr="00161B52" w:rsidRDefault="00161B52" w:rsidP="00161B52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61B52">
        <w:rPr>
          <w:sz w:val="24"/>
          <w:szCs w:val="24"/>
        </w:rPr>
        <w:t>Katedra, która utraci wymaganą liczbę pracowników winna mieć czas na uzupełnienie składu osobowego. Minimalny okres powinien wynosić 15 miesięcy (regulacje UE w Poznaniu pozwalają wydłużyć ten okres do 27 miesięcy);</w:t>
      </w:r>
    </w:p>
    <w:p w:rsidR="00161B52" w:rsidRPr="00161B52" w:rsidRDefault="00161B52" w:rsidP="00161B52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61B52">
        <w:rPr>
          <w:sz w:val="24"/>
          <w:szCs w:val="24"/>
        </w:rPr>
        <w:t xml:space="preserve">Pracownicy katedr, które będą likwidowane albo łączone z innymi jednostkami organizacyjnymi powinni mieć możliwość wyboru w jakich jednostkach organizacyjnych chcieliby kontynuować zatrudnienie. Decydujące w tym względzie  </w:t>
      </w:r>
      <w:r w:rsidRPr="00161B52">
        <w:rPr>
          <w:sz w:val="24"/>
          <w:szCs w:val="24"/>
        </w:rPr>
        <w:lastRenderedPageBreak/>
        <w:t xml:space="preserve">powinny być możliwości godzinowe katedr, zainteresowania badawcze pracowników i ich specjalizacja dydaktyczna;    </w:t>
      </w:r>
    </w:p>
    <w:p w:rsidR="00161B52" w:rsidRPr="00161B52" w:rsidRDefault="00161B52" w:rsidP="00161B52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61B52">
        <w:rPr>
          <w:sz w:val="24"/>
          <w:szCs w:val="24"/>
        </w:rPr>
        <w:t>Katedra, która utraci liczebność ale ma odpowiednie obciążenia dydaktyczne nie może być zlikwidowana, jeżeli władze uczelni ze względu na sytuacje Uczelni odmówią  rozpisania konkursu na zatrudnienie nowego pracownika;</w:t>
      </w:r>
    </w:p>
    <w:p w:rsidR="00161B52" w:rsidRPr="00161B52" w:rsidRDefault="00161B52" w:rsidP="00161B52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161B52">
        <w:rPr>
          <w:sz w:val="24"/>
          <w:szCs w:val="24"/>
        </w:rPr>
        <w:t xml:space="preserve">W szczególnie uzasadnionych przypadkach Senat (albo Rektor), na wniosek dziekana zaopiniowany przez radę wydziału, może wyrazić zgodę na obniżenie wymagań, o których mowa w ustępie 8. </w:t>
      </w:r>
    </w:p>
    <w:p w:rsidR="00161B52" w:rsidRPr="00161B52" w:rsidRDefault="00161B52" w:rsidP="00161B52">
      <w:pPr>
        <w:jc w:val="right"/>
        <w:rPr>
          <w:sz w:val="24"/>
          <w:szCs w:val="24"/>
        </w:rPr>
      </w:pPr>
      <w:r w:rsidRPr="00161B52">
        <w:rPr>
          <w:sz w:val="24"/>
          <w:szCs w:val="24"/>
        </w:rPr>
        <w:t>Przygotował</w:t>
      </w:r>
      <w:r w:rsidRPr="00161B52">
        <w:rPr>
          <w:sz w:val="24"/>
          <w:szCs w:val="24"/>
        </w:rPr>
        <w:t xml:space="preserve"> prof. Jędrzej </w:t>
      </w:r>
      <w:proofErr w:type="spellStart"/>
      <w:r w:rsidRPr="00161B52">
        <w:rPr>
          <w:sz w:val="24"/>
          <w:szCs w:val="24"/>
        </w:rPr>
        <w:t>Chumiński</w:t>
      </w:r>
      <w:proofErr w:type="spellEnd"/>
    </w:p>
    <w:p w:rsidR="009844DB" w:rsidRPr="00161B52" w:rsidRDefault="009844DB" w:rsidP="00161B52">
      <w:pPr>
        <w:rPr>
          <w:sz w:val="24"/>
          <w:szCs w:val="24"/>
        </w:rPr>
      </w:pPr>
    </w:p>
    <w:p w:rsidR="00BE18E4" w:rsidRPr="00161B52" w:rsidRDefault="00BE18E4" w:rsidP="00161B52">
      <w:pPr>
        <w:rPr>
          <w:sz w:val="24"/>
          <w:szCs w:val="24"/>
        </w:rPr>
      </w:pPr>
    </w:p>
    <w:sectPr w:rsidR="00BE18E4" w:rsidRPr="00161B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595" w:rsidRDefault="005E2595" w:rsidP="009C6582">
      <w:pPr>
        <w:spacing w:after="0" w:line="240" w:lineRule="auto"/>
      </w:pPr>
      <w:r>
        <w:separator/>
      </w:r>
    </w:p>
  </w:endnote>
  <w:endnote w:type="continuationSeparator" w:id="0">
    <w:p w:rsidR="005E2595" w:rsidRDefault="005E2595" w:rsidP="009C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787328"/>
      <w:docPartObj>
        <w:docPartGallery w:val="Page Numbers (Bottom of Page)"/>
        <w:docPartUnique/>
      </w:docPartObj>
    </w:sdtPr>
    <w:sdtEndPr/>
    <w:sdtContent>
      <w:p w:rsidR="009C6582" w:rsidRDefault="009C658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B52">
          <w:rPr>
            <w:noProof/>
          </w:rPr>
          <w:t>4</w:t>
        </w:r>
        <w:r>
          <w:fldChar w:fldCharType="end"/>
        </w:r>
      </w:p>
    </w:sdtContent>
  </w:sdt>
  <w:p w:rsidR="009C6582" w:rsidRDefault="009C65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595" w:rsidRDefault="005E2595" w:rsidP="009C6582">
      <w:pPr>
        <w:spacing w:after="0" w:line="240" w:lineRule="auto"/>
      </w:pPr>
      <w:r>
        <w:separator/>
      </w:r>
    </w:p>
  </w:footnote>
  <w:footnote w:type="continuationSeparator" w:id="0">
    <w:p w:rsidR="005E2595" w:rsidRDefault="005E2595" w:rsidP="009C6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2B5"/>
    <w:multiLevelType w:val="hybridMultilevel"/>
    <w:tmpl w:val="37541D84"/>
    <w:lvl w:ilvl="0" w:tplc="3ED037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B33F8"/>
    <w:multiLevelType w:val="hybridMultilevel"/>
    <w:tmpl w:val="D0561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95A3C"/>
    <w:multiLevelType w:val="hybridMultilevel"/>
    <w:tmpl w:val="55D077C0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32797D8E"/>
    <w:multiLevelType w:val="hybridMultilevel"/>
    <w:tmpl w:val="036A4E84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65397886"/>
    <w:multiLevelType w:val="hybridMultilevel"/>
    <w:tmpl w:val="F00A7A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1FF1BC2"/>
    <w:multiLevelType w:val="hybridMultilevel"/>
    <w:tmpl w:val="8E70D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A4"/>
    <w:rsid w:val="000E16DF"/>
    <w:rsid w:val="00111F5F"/>
    <w:rsid w:val="001515AC"/>
    <w:rsid w:val="00161B52"/>
    <w:rsid w:val="00214A7A"/>
    <w:rsid w:val="005E2595"/>
    <w:rsid w:val="005E47CC"/>
    <w:rsid w:val="006C3340"/>
    <w:rsid w:val="006F493C"/>
    <w:rsid w:val="007A7098"/>
    <w:rsid w:val="00873A52"/>
    <w:rsid w:val="009844DB"/>
    <w:rsid w:val="009C6582"/>
    <w:rsid w:val="00AE11C6"/>
    <w:rsid w:val="00BE18E4"/>
    <w:rsid w:val="00D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4D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4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58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582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61B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61B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6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4D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4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58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582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61B5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61B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61B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1083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Borys</dc:creator>
  <cp:keywords/>
  <dc:description/>
  <cp:lastModifiedBy>Tadeusz Borys</cp:lastModifiedBy>
  <cp:revision>14</cp:revision>
  <dcterms:created xsi:type="dcterms:W3CDTF">2016-03-14T13:00:00Z</dcterms:created>
  <dcterms:modified xsi:type="dcterms:W3CDTF">2016-04-13T09:07:00Z</dcterms:modified>
</cp:coreProperties>
</file>