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81" w:rsidRPr="00D16F81" w:rsidRDefault="00D16F81" w:rsidP="00D16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6F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STRATEGIA ROZWOJU UNIWERSYTETU EKONOMICZNEGO WE WROCŁAWIU </w:t>
      </w:r>
    </w:p>
    <w:p w:rsidR="00D16F81" w:rsidRPr="00D16F81" w:rsidRDefault="00D16F81" w:rsidP="00D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t>Horyzont czasowy Strategii wynosi 10 lat przy uwzględnieniu zasady ciągłości planowania</w:t>
      </w:r>
    </w:p>
    <w:p w:rsidR="00D16F81" w:rsidRPr="00D16F81" w:rsidRDefault="00D16F81" w:rsidP="00D16F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6F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MISJA UNIWERSYTETU EKONOMICZNEGO WE WROCŁAWIU </w:t>
      </w:r>
    </w:p>
    <w:p w:rsidR="00D16F81" w:rsidRPr="00D16F81" w:rsidRDefault="00D16F81" w:rsidP="00D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t>Być wiodącym ośrodkiem twórczej myśli i kształcenia ekonomicznego w naszym regionie Europy</w:t>
      </w:r>
    </w:p>
    <w:p w:rsidR="00D16F81" w:rsidRPr="00D16F81" w:rsidRDefault="00D16F81" w:rsidP="00D16F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6F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WIZJA ROZWOJU </w:t>
      </w:r>
    </w:p>
    <w:p w:rsidR="00D16F81" w:rsidRPr="00D16F81" w:rsidRDefault="00D16F81" w:rsidP="00D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Ekonomiczny we Wrocławiu będzie nowoczesną jednostką edukacyjno-badawczą, opiniotwórczą i doradczą, trwale osadzoną w regionalnej, krajowej i międzynarodowej przestrzeni, podejmującą działania dla zrównoważonego rozwoju w poczuciu społecznej i etycznej odpowiedzialności, przyjazną pracownikom, studentom i absolwentom oraz otwartą na całe swoje otoczenie.</w:t>
      </w:r>
    </w:p>
    <w:p w:rsidR="00D16F81" w:rsidRPr="00D16F81" w:rsidRDefault="00D16F81" w:rsidP="00D16F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6F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STRATEGICZNE KIERUNKI ROZWOJU </w:t>
      </w:r>
    </w:p>
    <w:p w:rsidR="00D16F81" w:rsidRPr="00D16F81" w:rsidRDefault="00D16F81" w:rsidP="00D16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umacnianie pozycji naukowej wydziałów i jednostek międzywydziałowych </w:t>
      </w:r>
    </w:p>
    <w:p w:rsidR="00D16F81" w:rsidRPr="00D16F81" w:rsidRDefault="00D16F81" w:rsidP="00D16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 doskonalenie jakości edukacji przy jednoczesnym zapewnieniu sprzyjających warunków dla kształcenia osób o wybitnych uzdolnieniach </w:t>
      </w:r>
    </w:p>
    <w:p w:rsidR="00D16F81" w:rsidRPr="00D16F81" w:rsidRDefault="00D16F81" w:rsidP="00D16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różnorodnych form współpracy z otoczeniem społecznym i gospodarczym </w:t>
      </w:r>
    </w:p>
    <w:p w:rsidR="00D16F81" w:rsidRPr="00D16F81" w:rsidRDefault="00D16F81" w:rsidP="00D16F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ciągła poprawa sprawności zarządzania Uczelnią </w:t>
      </w:r>
    </w:p>
    <w:p w:rsidR="00D16F81" w:rsidRPr="00D16F81" w:rsidRDefault="00D16F81" w:rsidP="00D16F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6F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PIERWSZY STRATEGICZNY KIERUNEK ROZWOJU </w:t>
      </w:r>
    </w:p>
    <w:p w:rsidR="00D16F81" w:rsidRPr="00D16F81" w:rsidRDefault="00D16F81" w:rsidP="00D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Umacnianie pozycji naukowej Uczelni</w:t>
      </w:r>
    </w:p>
    <w:p w:rsidR="00D16F81" w:rsidRPr="00D16F81" w:rsidRDefault="00D16F81" w:rsidP="00D16F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STRATEGICZNE </w:t>
      </w:r>
    </w:p>
    <w:p w:rsidR="00D16F81" w:rsidRPr="00D16F81" w:rsidRDefault="00D16F81" w:rsidP="00D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t>1. Uzyskanie przez wydziały najwyższych kategorii w ocenie parametrycznej oraz nowych uprawnień do nadawania stopni naukowych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Stałe zwiększanie liczby samodzielnych pracowników nauki, zwłaszcza w grupie profesorów tytularnych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Zwiększanie reprezentacji Uczelni w ogólnopolskich i międzynarodowych wybieralnych gremiach naukowych (organizacjach naukowych, komitetach redakcyjnych itp.)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Wzrost aktywności międzynarodowej w obszarze badań naukowych, w tym zwłaszcza zwiększony udział w europejskich programach i projektach badawczych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Rozszerzanie współpracy międzynarodowej w dziedzinie wymiany kadr naukowych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Promowanie międzynarodowej aktywności i osiągnięć pracowników naukowo-dydaktycznych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Tworzenie międzywydziałowych, interdyscyplinarnych instytutów badawczych celem zapewnienia integracji badań naukowych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Rozszerzenie aktywności badawczej i wdrożeniowo-eksperckiej prowadzonej na rzecz jednostek otoczenia gospodarczego i społecznego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Zwiększenie zakresu i jakości działalności wydawniczej, w tym wzrost liczby publikacji w języku angielskim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 Przestrzeganie wysokich standardów etycznych w nauce i badaniach opartych na uniwersalnych wartościach.</w:t>
      </w:r>
    </w:p>
    <w:p w:rsidR="00D16F81" w:rsidRPr="00D16F81" w:rsidRDefault="00D16F81" w:rsidP="00D16F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6F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DRUGI STRATEGICZNY KIERUNEK ROZWOJU </w:t>
      </w:r>
    </w:p>
    <w:p w:rsidR="00D16F81" w:rsidRPr="00D16F81" w:rsidRDefault="00D16F81" w:rsidP="00D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Stałe doskonalenie jakości edukacji przy jednoczesnym zapewnieniu sprzyjających warunków dla kształcenia osób o wybitnych uzdolnieniach</w:t>
      </w:r>
    </w:p>
    <w:p w:rsidR="00D16F81" w:rsidRPr="00D16F81" w:rsidRDefault="00D16F81" w:rsidP="00D16F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STRATEGICZNE </w:t>
      </w:r>
    </w:p>
    <w:p w:rsidR="00D16F81" w:rsidRPr="00D16F81" w:rsidRDefault="00D16F81" w:rsidP="00D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Rozwijanie szerokiej i kompleksowej oferty edukacyjnej w języku angielskim na wszystkich poziomach kształcenia i różnych formach studiów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Intensyfikacja wymiany międzynarodowej studentów w ramach programów międzynarodowych i umów dwustronnych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Podporządkowanie planów i programów studiów stale aktualizowanym opisom kwalifikacji absolwentów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Zapewnianie indywidualnych warunków rozwoju osobom szczególnie utalentowanym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Zwiększanie zakresu działania niestandardowych form edukacji (studiów podyplomowych, Szkoły Letniej, Uniwersytetu Trzeciego Wieku, Forum Edukacji Biznesowej oraz specjalnych metod kształcenia dla osób niepełnosprawnych, w tym kształcenia na odległość i innych)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Stałe doskonalenie uczelnianego systemu edukacji poprzez rosnącą jakość kształcenia, aktywizację studentów, badania opinii studentów i absolwentów oraz pogłębienie integracji trzech stopni kształcenia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Przestrzeganie wysokich standardów etycznych i dobrych praktyk edukacyjnych opartych na uniwersalnych wartościach i zasadach edukacji dla zrównoważonego rozwoju.</w:t>
      </w:r>
    </w:p>
    <w:p w:rsidR="00D16F81" w:rsidRPr="00D16F81" w:rsidRDefault="00D16F81" w:rsidP="00D16F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6F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TRZECI STRATEGICZNY KIERUNEK ROZWOJU </w:t>
      </w:r>
    </w:p>
    <w:p w:rsidR="00D16F81" w:rsidRPr="00D16F81" w:rsidRDefault="00D16F81" w:rsidP="00D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Rozwijanie różnorodnych form współpracy z otoczeniem społecznym i gospodarczym</w:t>
      </w:r>
    </w:p>
    <w:p w:rsidR="00D16F81" w:rsidRPr="00D16F81" w:rsidRDefault="00D16F81" w:rsidP="00D16F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STRATEGICZNE </w:t>
      </w:r>
    </w:p>
    <w:p w:rsidR="00D16F81" w:rsidRPr="00D16F81" w:rsidRDefault="00D16F81" w:rsidP="00D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t>1. Zwiększenie zakresu i intensywności współpracy naukowej i edukacyjnej z uczelniami krajowymi i zagranicznymi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Uzyskanie międzynarodowej akredytacji instytucjonalnej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Rozwój różnych form współpracy z otoczeniem społecznym i gospodarczym, samorządem terytorialnym, zawodowym, organizacjami pozarządowymi, przedsiębiorstwami, a także mediami i organami opiniotwórczymi.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Zwiększenie udziału Uczelni w przedsięwzięciach badawczo-eksperckich i prognostycznych służących zrównoważonemu rozwojowi regionu i poprawie jakości życia mieszkańców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Intensyfikacja związków Uczelni z jej absolwentami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Rozwijanie różnorodnych form aktywności w ramach Klubu Partnera.</w:t>
      </w:r>
    </w:p>
    <w:p w:rsidR="00D16F81" w:rsidRPr="00D16F81" w:rsidRDefault="00D16F81" w:rsidP="00D16F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6F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CZWARTY STRATEGICZNY KIERUNEK ROZWOJU </w:t>
      </w:r>
    </w:p>
    <w:p w:rsidR="00D16F81" w:rsidRPr="00D16F81" w:rsidRDefault="00D16F81" w:rsidP="00D1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Poprawa sprawności zarządzania Uczelnią</w:t>
      </w:r>
    </w:p>
    <w:p w:rsidR="00D16F81" w:rsidRPr="00D16F81" w:rsidRDefault="00D16F81" w:rsidP="00D16F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STRATEGICZNE </w:t>
      </w:r>
    </w:p>
    <w:p w:rsidR="00524DF0" w:rsidRPr="00D16F81" w:rsidRDefault="00D16F81" w:rsidP="00D16F8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Stworzenie spójnego uczelnianego systemu wspierania badań naukowych (informowanie, finansowanie, stymulowanie, komercjalizacja, promocja, społeczne komunikowanie, ochrona własności intelektualnej)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Ciągłe podnoszenie kwalifikacji pracowników poprzez różne formy dokształcania, w tym osiągnięcie zdolności komunikowania się w języku angielskim przez wszystkie jednostki organizacyjne zaangażowane w obsługę studentów i gości zagranicznych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Doskonalenie struktury centralnej administracji i jednostek obsługujących procesy dydaktyczne i badawcze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Ciągłe usprawnianie pracy dziekanatów i jednostek administracyjnych, w tym poprzez ich informatyzację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Doskonalenie zarządzania studiami podyplomowymi i innymi formami kształcenia ustawicznego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Ciągłe doskonalenie sieci informatycznej oraz zwiększanie jej bezpieczeństwa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Poprawa jakości i dostępności bazy materialnej niezbędnej do prowadzenia badań naukowych, działalności edukacyjnej i zarządzania Uczelnią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Przestrzeganie wysokich standardów etycznych i dobrych praktyk w zarządzaniu Uczelnią opartych na uniwersalnych wartościach.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t>, wizj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kierunki oraz cele strategiczne rozwoju Uniwersytetu Ekonomicznego we Wrocławiu są podstawą do budowy programów operacyjnych, systemu zarządzania realizacją Strategii (podsystemów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16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aktualizacji oraz monitoringu realizacji Strategii) oraz strategii na poziomie wydziałów Uniwersytetu.</w:t>
      </w:r>
    </w:p>
    <w:p w:rsidR="00D16F81" w:rsidRPr="00D16F81" w:rsidRDefault="00D16F81" w:rsidP="00D16F81">
      <w:pPr>
        <w:jc w:val="right"/>
        <w:rPr>
          <w:rFonts w:ascii="Times New Roman" w:hAnsi="Times New Roman" w:cs="Times New Roman"/>
        </w:rPr>
      </w:pPr>
      <w:r w:rsidRPr="00D16F81">
        <w:rPr>
          <w:rFonts w:ascii="Times New Roman" w:hAnsi="Times New Roman" w:cs="Times New Roman"/>
        </w:rPr>
        <w:t>Strategię zatwierdzono Uchwał</w:t>
      </w:r>
      <w:r>
        <w:rPr>
          <w:rFonts w:ascii="Times New Roman" w:hAnsi="Times New Roman" w:cs="Times New Roman"/>
        </w:rPr>
        <w:t>ą</w:t>
      </w:r>
      <w:r w:rsidRPr="00D16F81">
        <w:rPr>
          <w:rFonts w:ascii="Times New Roman" w:hAnsi="Times New Roman" w:cs="Times New Roman"/>
        </w:rPr>
        <w:t xml:space="preserve"> Senat</w:t>
      </w:r>
      <w:r>
        <w:rPr>
          <w:rFonts w:ascii="Times New Roman" w:hAnsi="Times New Roman" w:cs="Times New Roman"/>
        </w:rPr>
        <w:t>u</w:t>
      </w:r>
      <w:r w:rsidRPr="00D16F81">
        <w:rPr>
          <w:rFonts w:ascii="Times New Roman" w:hAnsi="Times New Roman" w:cs="Times New Roman"/>
        </w:rPr>
        <w:t xml:space="preserve"> Uniwersytetu Ekonomicznego we Wrocławiu </w:t>
      </w:r>
      <w:r>
        <w:rPr>
          <w:rFonts w:ascii="Times New Roman" w:hAnsi="Times New Roman" w:cs="Times New Roman"/>
        </w:rPr>
        <w:br/>
      </w:r>
      <w:r w:rsidRPr="00D16F81">
        <w:rPr>
          <w:rFonts w:ascii="Times New Roman" w:hAnsi="Times New Roman" w:cs="Times New Roman"/>
        </w:rPr>
        <w:t>nr 32/2010 z dnia 27 maja 2010 r.</w:t>
      </w:r>
    </w:p>
    <w:p w:rsidR="00D16F81" w:rsidRPr="00D16F81" w:rsidRDefault="00D16F81" w:rsidP="00D16F81">
      <w:pPr>
        <w:jc w:val="right"/>
        <w:rPr>
          <w:rFonts w:ascii="Times New Roman" w:hAnsi="Times New Roman" w:cs="Times New Roman"/>
        </w:rPr>
      </w:pPr>
      <w:r w:rsidRPr="00D16F81">
        <w:rPr>
          <w:rFonts w:ascii="Times New Roman" w:hAnsi="Times New Roman" w:cs="Times New Roman"/>
        </w:rPr>
        <w:t>Przedstawiony tekst Strategii jest wersj</w:t>
      </w:r>
      <w:r>
        <w:rPr>
          <w:rFonts w:ascii="Times New Roman" w:hAnsi="Times New Roman" w:cs="Times New Roman"/>
        </w:rPr>
        <w:t>ą</w:t>
      </w:r>
      <w:r w:rsidRPr="00D16F81">
        <w:rPr>
          <w:rFonts w:ascii="Times New Roman" w:hAnsi="Times New Roman" w:cs="Times New Roman"/>
        </w:rPr>
        <w:t xml:space="preserve"> zaktualizowaną </w:t>
      </w:r>
      <w:r w:rsidRPr="00D16F81">
        <w:rPr>
          <w:rFonts w:ascii="Times New Roman" w:hAnsi="Times New Roman" w:cs="Times New Roman"/>
        </w:rPr>
        <w:t>Uchwał</w:t>
      </w:r>
      <w:r w:rsidRPr="00D16F81">
        <w:rPr>
          <w:rFonts w:ascii="Times New Roman" w:hAnsi="Times New Roman" w:cs="Times New Roman"/>
        </w:rPr>
        <w:t>ą</w:t>
      </w:r>
      <w:r w:rsidRPr="00D16F81">
        <w:rPr>
          <w:rFonts w:ascii="Times New Roman" w:hAnsi="Times New Roman" w:cs="Times New Roman"/>
        </w:rPr>
        <w:t xml:space="preserve"> Senat</w:t>
      </w:r>
      <w:r>
        <w:rPr>
          <w:rFonts w:ascii="Times New Roman" w:hAnsi="Times New Roman" w:cs="Times New Roman"/>
        </w:rPr>
        <w:t>u</w:t>
      </w:r>
      <w:bookmarkStart w:id="0" w:name="_GoBack"/>
      <w:bookmarkEnd w:id="0"/>
      <w:r w:rsidRPr="00D16F81">
        <w:rPr>
          <w:rFonts w:ascii="Times New Roman" w:hAnsi="Times New Roman" w:cs="Times New Roman"/>
        </w:rPr>
        <w:t xml:space="preserve"> Uniwersytetu Ekonomicznego we Wrocławiu nr </w:t>
      </w:r>
      <w:r w:rsidRPr="00D16F81">
        <w:rPr>
          <w:rFonts w:ascii="Times New Roman" w:hAnsi="Times New Roman" w:cs="Times New Roman"/>
        </w:rPr>
        <w:t>7</w:t>
      </w:r>
      <w:r w:rsidRPr="00D16F81">
        <w:rPr>
          <w:rFonts w:ascii="Times New Roman" w:hAnsi="Times New Roman" w:cs="Times New Roman"/>
        </w:rPr>
        <w:t>/201</w:t>
      </w:r>
      <w:r w:rsidRPr="00D16F81">
        <w:rPr>
          <w:rFonts w:ascii="Times New Roman" w:hAnsi="Times New Roman" w:cs="Times New Roman"/>
        </w:rPr>
        <w:t>1</w:t>
      </w:r>
      <w:r w:rsidRPr="00D16F81">
        <w:rPr>
          <w:rFonts w:ascii="Times New Roman" w:hAnsi="Times New Roman" w:cs="Times New Roman"/>
        </w:rPr>
        <w:t xml:space="preserve"> z</w:t>
      </w:r>
      <w:r w:rsidRPr="00D16F81">
        <w:rPr>
          <w:rFonts w:ascii="Times New Roman" w:hAnsi="Times New Roman" w:cs="Times New Roman"/>
        </w:rPr>
        <w:t xml:space="preserve"> 27 stycznia 2011 roku</w:t>
      </w:r>
    </w:p>
    <w:sectPr w:rsidR="00D16F81" w:rsidRPr="00D1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4BC"/>
    <w:multiLevelType w:val="hybridMultilevel"/>
    <w:tmpl w:val="D06E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43BE1"/>
    <w:multiLevelType w:val="multilevel"/>
    <w:tmpl w:val="CA1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81"/>
    <w:rsid w:val="00524DF0"/>
    <w:rsid w:val="00D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16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16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16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6F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6F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16F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16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16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16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6F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6F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16F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2016-04-18T09:29:00Z</dcterms:created>
  <dcterms:modified xsi:type="dcterms:W3CDTF">2016-04-18T09:35:00Z</dcterms:modified>
</cp:coreProperties>
</file>