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229"/>
      </w:tblGrid>
      <w:tr w:rsidR="0080734C" w:rsidRPr="007500A3" w:rsidTr="00180F85">
        <w:tc>
          <w:tcPr>
            <w:tcW w:w="2055" w:type="dxa"/>
          </w:tcPr>
          <w:p w:rsidR="009D1E5F" w:rsidRPr="00E20CE3" w:rsidRDefault="009D1E5F" w:rsidP="00180F85">
            <w:pPr>
              <w:spacing w:before="60" w:after="60" w:line="240" w:lineRule="auto"/>
              <w:rPr>
                <w:b/>
                <w:bCs/>
                <w:sz w:val="24"/>
                <w:szCs w:val="24"/>
                <w:lang w:val="en-GB"/>
              </w:rPr>
            </w:pPr>
            <w:r w:rsidRPr="00E20CE3">
              <w:rPr>
                <w:b/>
                <w:bCs/>
                <w:sz w:val="24"/>
                <w:szCs w:val="24"/>
                <w:lang w:val="en-GB"/>
              </w:rPr>
              <w:t>Course title</w:t>
            </w:r>
          </w:p>
        </w:tc>
        <w:tc>
          <w:tcPr>
            <w:tcW w:w="7229" w:type="dxa"/>
          </w:tcPr>
          <w:p w:rsidR="009D1E5F" w:rsidRPr="00E20CE3" w:rsidRDefault="009D1E5F" w:rsidP="00180F85">
            <w:pPr>
              <w:spacing w:before="60" w:after="60" w:line="240" w:lineRule="auto"/>
              <w:ind w:right="72"/>
              <w:jc w:val="both"/>
              <w:rPr>
                <w:b/>
                <w:bCs/>
                <w:sz w:val="24"/>
                <w:szCs w:val="24"/>
                <w:lang w:val="en-GB"/>
              </w:rPr>
            </w:pPr>
            <w:r w:rsidRPr="00E20CE3">
              <w:rPr>
                <w:b/>
                <w:bCs/>
                <w:sz w:val="24"/>
                <w:szCs w:val="24"/>
                <w:lang w:val="en-GB"/>
              </w:rPr>
              <w:t>European Union</w:t>
            </w:r>
            <w:r w:rsidR="00101C70">
              <w:rPr>
                <w:b/>
                <w:bCs/>
                <w:sz w:val="24"/>
                <w:szCs w:val="24"/>
                <w:lang w:val="en-GB"/>
              </w:rPr>
              <w:t xml:space="preserve"> </w:t>
            </w:r>
            <w:r w:rsidR="00101C70">
              <w:rPr>
                <w:b/>
                <w:bCs/>
                <w:sz w:val="24"/>
                <w:szCs w:val="24"/>
                <w:lang w:val="en-GB"/>
              </w:rPr>
              <w:t>Functioning</w:t>
            </w:r>
            <w:bookmarkStart w:id="0" w:name="_GoBack"/>
            <w:bookmarkEnd w:id="0"/>
          </w:p>
        </w:tc>
      </w:tr>
      <w:tr w:rsidR="0080734C" w:rsidRPr="00101C70" w:rsidTr="00180F85">
        <w:tc>
          <w:tcPr>
            <w:tcW w:w="2055" w:type="dxa"/>
          </w:tcPr>
          <w:p w:rsidR="009D1E5F" w:rsidRPr="0080734C" w:rsidRDefault="009D1E5F" w:rsidP="00180F85">
            <w:pPr>
              <w:spacing w:before="60" w:after="60" w:line="240" w:lineRule="auto"/>
              <w:rPr>
                <w:b/>
                <w:bCs/>
                <w:lang w:val="en-GB"/>
              </w:rPr>
            </w:pPr>
            <w:r w:rsidRPr="0080734C">
              <w:rPr>
                <w:b/>
                <w:bCs/>
                <w:lang w:val="en-GB"/>
              </w:rPr>
              <w:t>Lecturer</w:t>
            </w:r>
          </w:p>
        </w:tc>
        <w:tc>
          <w:tcPr>
            <w:tcW w:w="7229" w:type="dxa"/>
          </w:tcPr>
          <w:p w:rsidR="009D1E5F" w:rsidRPr="00EA5CEF" w:rsidRDefault="009D1E5F" w:rsidP="00180F85">
            <w:pPr>
              <w:spacing w:before="60" w:after="60" w:line="240" w:lineRule="auto"/>
              <w:ind w:right="72"/>
              <w:jc w:val="both"/>
              <w:rPr>
                <w:rFonts w:cs="Arial"/>
                <w:lang w:val="en-GB"/>
              </w:rPr>
            </w:pPr>
            <w:proofErr w:type="spellStart"/>
            <w:r w:rsidRPr="00EA5CEF">
              <w:rPr>
                <w:rFonts w:cs="Arial"/>
                <w:lang w:val="en-GB"/>
              </w:rPr>
              <w:t>dr</w:t>
            </w:r>
            <w:proofErr w:type="spellEnd"/>
            <w:r w:rsidRPr="00EA5CEF">
              <w:rPr>
                <w:rFonts w:cs="Arial"/>
                <w:lang w:val="en-GB"/>
              </w:rPr>
              <w:t xml:space="preserve"> hab. </w:t>
            </w:r>
            <w:proofErr w:type="spellStart"/>
            <w:r w:rsidRPr="00EA5CEF">
              <w:rPr>
                <w:rFonts w:cs="Arial"/>
                <w:lang w:val="en-GB"/>
              </w:rPr>
              <w:t>Ewa</w:t>
            </w:r>
            <w:proofErr w:type="spellEnd"/>
            <w:r w:rsidRPr="00EA5CEF">
              <w:rPr>
                <w:rFonts w:cs="Arial"/>
                <w:lang w:val="en-GB"/>
              </w:rPr>
              <w:t xml:space="preserve"> </w:t>
            </w:r>
            <w:proofErr w:type="spellStart"/>
            <w:r w:rsidRPr="00EA5CEF">
              <w:rPr>
                <w:rFonts w:cs="Arial"/>
                <w:lang w:val="en-GB"/>
              </w:rPr>
              <w:t>Pancer-Cybulska</w:t>
            </w:r>
            <w:proofErr w:type="spellEnd"/>
            <w:r w:rsidRPr="00EA5CEF">
              <w:rPr>
                <w:rFonts w:cs="Arial"/>
                <w:lang w:val="en-GB"/>
              </w:rPr>
              <w:t xml:space="preserve">, </w:t>
            </w:r>
            <w:proofErr w:type="spellStart"/>
            <w:r w:rsidRPr="00EA5CEF">
              <w:rPr>
                <w:rFonts w:cs="Arial"/>
                <w:lang w:val="en-GB"/>
              </w:rPr>
              <w:t>dr</w:t>
            </w:r>
            <w:proofErr w:type="spellEnd"/>
            <w:r w:rsidRPr="00EA5CEF">
              <w:rPr>
                <w:rFonts w:cs="Arial"/>
                <w:lang w:val="en-GB"/>
              </w:rPr>
              <w:t xml:space="preserve"> </w:t>
            </w:r>
            <w:proofErr w:type="spellStart"/>
            <w:r w:rsidRPr="00EA5CEF">
              <w:rPr>
                <w:rFonts w:cs="Arial"/>
                <w:lang w:val="en-GB"/>
              </w:rPr>
              <w:t>Łukasz</w:t>
            </w:r>
            <w:proofErr w:type="spellEnd"/>
            <w:r w:rsidRPr="00EA5CEF">
              <w:rPr>
                <w:rFonts w:cs="Arial"/>
                <w:lang w:val="en-GB"/>
              </w:rPr>
              <w:t xml:space="preserve"> </w:t>
            </w:r>
            <w:proofErr w:type="spellStart"/>
            <w:r w:rsidRPr="00EA5CEF">
              <w:rPr>
                <w:rFonts w:cs="Arial"/>
                <w:lang w:val="en-GB"/>
              </w:rPr>
              <w:t>Olipra</w:t>
            </w:r>
            <w:proofErr w:type="spellEnd"/>
            <w:r w:rsidRPr="00EA5CEF">
              <w:rPr>
                <w:rFonts w:cs="Arial"/>
                <w:lang w:val="en-GB"/>
              </w:rPr>
              <w:t xml:space="preserve">,  </w:t>
            </w:r>
            <w:proofErr w:type="spellStart"/>
            <w:r w:rsidRPr="00EA5CEF">
              <w:rPr>
                <w:rFonts w:cs="Arial"/>
                <w:lang w:val="en-GB"/>
              </w:rPr>
              <w:t>mgr</w:t>
            </w:r>
            <w:proofErr w:type="spellEnd"/>
            <w:r w:rsidRPr="00EA5CEF">
              <w:rPr>
                <w:rFonts w:cs="Arial"/>
                <w:lang w:val="en-GB"/>
              </w:rPr>
              <w:t xml:space="preserve"> Joanna </w:t>
            </w:r>
            <w:proofErr w:type="spellStart"/>
            <w:r w:rsidRPr="00EA5CEF">
              <w:rPr>
                <w:rFonts w:cs="Arial"/>
                <w:lang w:val="en-GB"/>
              </w:rPr>
              <w:t>Jahn</w:t>
            </w:r>
            <w:proofErr w:type="spellEnd"/>
          </w:p>
        </w:tc>
      </w:tr>
      <w:tr w:rsidR="0080734C" w:rsidRPr="0080734C" w:rsidTr="00180F85">
        <w:tc>
          <w:tcPr>
            <w:tcW w:w="2055" w:type="dxa"/>
          </w:tcPr>
          <w:p w:rsidR="009D1E5F" w:rsidRPr="0080734C" w:rsidRDefault="009D1E5F" w:rsidP="00180F85">
            <w:pPr>
              <w:spacing w:before="60" w:after="60" w:line="240" w:lineRule="auto"/>
              <w:rPr>
                <w:b/>
                <w:bCs/>
                <w:lang w:val="en-GB"/>
              </w:rPr>
            </w:pPr>
            <w:r w:rsidRPr="0080734C">
              <w:rPr>
                <w:b/>
                <w:bCs/>
                <w:lang w:val="en-GB"/>
              </w:rPr>
              <w:t>Level</w:t>
            </w:r>
          </w:p>
        </w:tc>
        <w:tc>
          <w:tcPr>
            <w:tcW w:w="7229" w:type="dxa"/>
          </w:tcPr>
          <w:p w:rsidR="009D1E5F" w:rsidRPr="0080734C" w:rsidRDefault="009D1E5F" w:rsidP="00180F85">
            <w:pPr>
              <w:spacing w:before="60" w:after="60" w:line="240" w:lineRule="auto"/>
              <w:ind w:right="72"/>
              <w:rPr>
                <w:bCs/>
                <w:lang w:val="en-GB"/>
              </w:rPr>
            </w:pPr>
            <w:r w:rsidRPr="0080734C">
              <w:rPr>
                <w:bCs/>
                <w:lang w:val="en-GB"/>
              </w:rPr>
              <w:t>bachelor</w:t>
            </w:r>
          </w:p>
        </w:tc>
      </w:tr>
      <w:tr w:rsidR="0080734C" w:rsidRPr="00E20CE3" w:rsidTr="00180F85">
        <w:tc>
          <w:tcPr>
            <w:tcW w:w="2055" w:type="dxa"/>
          </w:tcPr>
          <w:p w:rsidR="009D1E5F" w:rsidRPr="0080734C" w:rsidRDefault="009D1E5F" w:rsidP="00180F85">
            <w:pPr>
              <w:spacing w:before="60" w:after="60" w:line="240" w:lineRule="auto"/>
              <w:rPr>
                <w:b/>
                <w:bCs/>
                <w:lang w:val="en-GB"/>
              </w:rPr>
            </w:pPr>
            <w:r w:rsidRPr="0080734C">
              <w:rPr>
                <w:b/>
                <w:bCs/>
                <w:lang w:val="en-GB"/>
              </w:rPr>
              <w:t>Length</w:t>
            </w:r>
          </w:p>
        </w:tc>
        <w:tc>
          <w:tcPr>
            <w:tcW w:w="7229" w:type="dxa"/>
          </w:tcPr>
          <w:p w:rsidR="009D1E5F" w:rsidRPr="0080734C" w:rsidRDefault="00E20CE3" w:rsidP="00180F85">
            <w:pPr>
              <w:spacing w:before="60" w:after="60" w:line="240" w:lineRule="auto"/>
              <w:ind w:right="72"/>
              <w:rPr>
                <w:rFonts w:cs="Calibri"/>
                <w:bCs/>
                <w:lang w:val="en-GB"/>
              </w:rPr>
            </w:pPr>
            <w:r>
              <w:rPr>
                <w:rFonts w:cs="Calibri"/>
                <w:bCs/>
                <w:lang w:val="en-US"/>
              </w:rPr>
              <w:t>30 / L: 15, W: 15</w:t>
            </w:r>
          </w:p>
        </w:tc>
      </w:tr>
      <w:tr w:rsidR="0080734C" w:rsidRPr="0080734C" w:rsidTr="00180F85">
        <w:tc>
          <w:tcPr>
            <w:tcW w:w="2055" w:type="dxa"/>
          </w:tcPr>
          <w:p w:rsidR="009D1E5F" w:rsidRPr="0080734C" w:rsidRDefault="009D1E5F" w:rsidP="00180F85">
            <w:pPr>
              <w:spacing w:before="60" w:after="60" w:line="240" w:lineRule="auto"/>
              <w:rPr>
                <w:b/>
                <w:bCs/>
                <w:lang w:val="en-GB"/>
              </w:rPr>
            </w:pPr>
            <w:r w:rsidRPr="0080734C">
              <w:rPr>
                <w:b/>
                <w:bCs/>
                <w:lang w:val="en-GB"/>
              </w:rPr>
              <w:t>Type</w:t>
            </w:r>
          </w:p>
        </w:tc>
        <w:tc>
          <w:tcPr>
            <w:tcW w:w="7229" w:type="dxa"/>
          </w:tcPr>
          <w:p w:rsidR="009D1E5F" w:rsidRPr="0080734C" w:rsidRDefault="009D1E5F" w:rsidP="00180F85">
            <w:pPr>
              <w:spacing w:before="60" w:after="60" w:line="240" w:lineRule="auto"/>
              <w:ind w:right="72"/>
              <w:rPr>
                <w:bCs/>
                <w:lang w:val="en-GB"/>
              </w:rPr>
            </w:pPr>
            <w:r w:rsidRPr="0080734C">
              <w:rPr>
                <w:bCs/>
                <w:lang w:val="en-GB"/>
              </w:rPr>
              <w:t>major course</w:t>
            </w:r>
          </w:p>
        </w:tc>
      </w:tr>
      <w:tr w:rsidR="0080734C" w:rsidRPr="0080734C" w:rsidTr="00180F85">
        <w:tc>
          <w:tcPr>
            <w:tcW w:w="2055" w:type="dxa"/>
          </w:tcPr>
          <w:p w:rsidR="009D1E5F" w:rsidRPr="0080734C" w:rsidRDefault="009D1E5F" w:rsidP="00180F85">
            <w:pPr>
              <w:spacing w:before="60" w:after="60" w:line="240" w:lineRule="auto"/>
              <w:rPr>
                <w:b/>
                <w:bCs/>
                <w:lang w:val="en-GB"/>
              </w:rPr>
            </w:pPr>
            <w:r w:rsidRPr="0080734C">
              <w:rPr>
                <w:b/>
                <w:bCs/>
                <w:lang w:val="en-GB"/>
              </w:rPr>
              <w:t>Form</w:t>
            </w:r>
          </w:p>
        </w:tc>
        <w:tc>
          <w:tcPr>
            <w:tcW w:w="7229" w:type="dxa"/>
          </w:tcPr>
          <w:p w:rsidR="009D1E5F" w:rsidRPr="0080734C" w:rsidRDefault="00E20CE3" w:rsidP="00180F85">
            <w:pPr>
              <w:spacing w:before="60" w:after="60" w:line="240" w:lineRule="auto"/>
              <w:ind w:right="72"/>
              <w:rPr>
                <w:bCs/>
                <w:lang w:val="en-GB"/>
              </w:rPr>
            </w:pPr>
            <w:r>
              <w:rPr>
                <w:bCs/>
                <w:lang w:val="en-GB"/>
              </w:rPr>
              <w:t>lecture and</w:t>
            </w:r>
            <w:r w:rsidR="009D1E5F" w:rsidRPr="0080734C">
              <w:rPr>
                <w:bCs/>
                <w:lang w:val="en-GB"/>
              </w:rPr>
              <w:t xml:space="preserve"> workshop</w:t>
            </w:r>
          </w:p>
        </w:tc>
      </w:tr>
      <w:tr w:rsidR="0080734C" w:rsidRPr="00101C70" w:rsidTr="00180F85">
        <w:trPr>
          <w:trHeight w:val="29"/>
        </w:trPr>
        <w:tc>
          <w:tcPr>
            <w:tcW w:w="2055" w:type="dxa"/>
            <w:vMerge w:val="restart"/>
          </w:tcPr>
          <w:p w:rsidR="009D1E5F" w:rsidRPr="0080734C" w:rsidRDefault="009D1E5F" w:rsidP="00180F85">
            <w:pPr>
              <w:spacing w:before="60" w:after="60" w:line="240" w:lineRule="auto"/>
              <w:rPr>
                <w:b/>
                <w:bCs/>
                <w:lang w:val="en-GB"/>
              </w:rPr>
            </w:pPr>
            <w:r w:rsidRPr="0080734C">
              <w:rPr>
                <w:b/>
                <w:bCs/>
                <w:lang w:val="en-GB"/>
              </w:rPr>
              <w:t>Content</w:t>
            </w: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Origins and history of European integration process</w:t>
            </w:r>
            <w:r w:rsidR="00E20CE3">
              <w:rPr>
                <w:rFonts w:cs="Arial"/>
                <w:lang w:val="en-GB"/>
              </w:rPr>
              <w:t xml:space="preserve">. </w:t>
            </w:r>
            <w:r w:rsidRPr="00E20CE3">
              <w:rPr>
                <w:rFonts w:cs="Arial"/>
                <w:lang w:val="en-GB"/>
              </w:rPr>
              <w:t>Stages of economic int</w:t>
            </w:r>
            <w:r w:rsidR="00E20CE3">
              <w:rPr>
                <w:rFonts w:cs="Arial"/>
                <w:lang w:val="en-GB"/>
              </w:rPr>
              <w:t xml:space="preserve">egration and its characteristic. </w:t>
            </w:r>
            <w:r w:rsidRPr="00E20CE3">
              <w:rPr>
                <w:rFonts w:cs="Arial"/>
                <w:lang w:val="en-GB"/>
              </w:rPr>
              <w:t xml:space="preserve">European </w:t>
            </w:r>
            <w:r w:rsidR="00E20CE3">
              <w:rPr>
                <w:rFonts w:cs="Arial"/>
                <w:lang w:val="en-GB"/>
              </w:rPr>
              <w:t xml:space="preserve">treaties and their significance. </w:t>
            </w:r>
            <w:r w:rsidRPr="00E20CE3">
              <w:rPr>
                <w:rFonts w:cs="Arial"/>
                <w:lang w:val="en-GB"/>
              </w:rPr>
              <w:t>Enlargements of the European Communities and European Union.</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EU institutions and its role in the decision making process</w:t>
            </w:r>
            <w:r w:rsidR="00E20CE3">
              <w:rPr>
                <w:rFonts w:cs="Arial"/>
                <w:lang w:val="en-GB"/>
              </w:rPr>
              <w:t xml:space="preserve">. </w:t>
            </w:r>
            <w:r w:rsidRPr="00E20CE3">
              <w:rPr>
                <w:lang w:val="en-US"/>
              </w:rPr>
              <w:t>Functions and role of the European Commission, its</w:t>
            </w:r>
            <w:r w:rsidR="00E20CE3">
              <w:rPr>
                <w:lang w:val="en-US"/>
              </w:rPr>
              <w:t xml:space="preserve"> influence and responsibilities. </w:t>
            </w:r>
            <w:r w:rsidRPr="00E20CE3">
              <w:rPr>
                <w:lang w:val="en-US"/>
              </w:rPr>
              <w:t>Functions and role of the European Council, its</w:t>
            </w:r>
            <w:r w:rsidR="00E20CE3">
              <w:rPr>
                <w:lang w:val="en-US"/>
              </w:rPr>
              <w:t xml:space="preserve"> influence and responsibilities. </w:t>
            </w:r>
            <w:r w:rsidRPr="00E20CE3">
              <w:rPr>
                <w:lang w:val="en-US"/>
              </w:rPr>
              <w:t>Functions and role of the Council of the European Union, its influence and responsibilities.</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EU institutions and its role</w:t>
            </w:r>
            <w:r w:rsidR="00E20CE3">
              <w:rPr>
                <w:rFonts w:eastAsia="Arial"/>
                <w:lang w:val="en-GB"/>
              </w:rPr>
              <w:t xml:space="preserve"> in the decision making process.</w:t>
            </w:r>
            <w:r w:rsidR="00E20CE3">
              <w:rPr>
                <w:rFonts w:cs="Arial"/>
                <w:lang w:val="en-GB"/>
              </w:rPr>
              <w:t xml:space="preserve"> </w:t>
            </w:r>
            <w:r w:rsidRPr="00E20CE3">
              <w:rPr>
                <w:lang w:val="en-US"/>
              </w:rPr>
              <w:t xml:space="preserve">Functions and role of the European Parliament, its </w:t>
            </w:r>
            <w:r w:rsidR="00E20CE3">
              <w:rPr>
                <w:lang w:val="en-US"/>
              </w:rPr>
              <w:t xml:space="preserve">influence and responsibilities. </w:t>
            </w:r>
            <w:r w:rsidRPr="00E20CE3">
              <w:rPr>
                <w:lang w:val="en-US"/>
              </w:rPr>
              <w:t>Functions and role of the European Courts, its influence and responsibilities.</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The basis of European Law and decision making processes in the EU</w:t>
            </w:r>
            <w:r w:rsidR="00E20CE3">
              <w:rPr>
                <w:rFonts w:cs="Arial"/>
                <w:lang w:val="en-GB"/>
              </w:rPr>
              <w:t xml:space="preserve">. </w:t>
            </w:r>
            <w:r w:rsidRPr="00E20CE3">
              <w:rPr>
                <w:rFonts w:cs="Arial"/>
                <w:lang w:val="en-GB"/>
              </w:rPr>
              <w:t>Characteristics of pri</w:t>
            </w:r>
            <w:r w:rsidR="00E20CE3">
              <w:rPr>
                <w:rFonts w:cs="Arial"/>
                <w:lang w:val="en-GB"/>
              </w:rPr>
              <w:t xml:space="preserve">mary and derivative legal acts: </w:t>
            </w:r>
            <w:r w:rsidRPr="00E20CE3">
              <w:rPr>
                <w:rFonts w:cs="Arial"/>
                <w:lang w:val="en-GB"/>
              </w:rPr>
              <w:t>regu</w:t>
            </w:r>
            <w:r w:rsidR="00E20CE3">
              <w:rPr>
                <w:rFonts w:cs="Arial"/>
                <w:lang w:val="en-GB"/>
              </w:rPr>
              <w:t xml:space="preserve">lations, directives, decisions. </w:t>
            </w:r>
            <w:r w:rsidRPr="00E20CE3">
              <w:rPr>
                <w:rFonts w:cs="Arial"/>
                <w:lang w:val="en-GB"/>
              </w:rPr>
              <w:t>Evolution of Community method with particular emphasis on co</w:t>
            </w:r>
            <w:r w:rsidR="00E20CE3">
              <w:rPr>
                <w:rFonts w:cs="Arial"/>
                <w:lang w:val="en-GB"/>
              </w:rPr>
              <w:t xml:space="preserve">-decision procedure. </w:t>
            </w:r>
            <w:r w:rsidRPr="00E20CE3">
              <w:rPr>
                <w:rFonts w:cs="Arial"/>
                <w:lang w:val="en-GB"/>
              </w:rPr>
              <w:t>Role of different institutions and interest groups in the decision making process.</w:t>
            </w:r>
          </w:p>
        </w:tc>
      </w:tr>
      <w:tr w:rsidR="0080734C" w:rsidRPr="00E20CE3"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Multiannual financial framework and budget of the European Union</w:t>
            </w:r>
            <w:r w:rsidR="00E20CE3">
              <w:rPr>
                <w:rFonts w:cs="Arial"/>
                <w:lang w:val="en-GB"/>
              </w:rPr>
              <w:t xml:space="preserve">. </w:t>
            </w:r>
            <w:r w:rsidRPr="00E20CE3">
              <w:rPr>
                <w:rFonts w:cs="Arial"/>
                <w:lang w:val="en-GB"/>
              </w:rPr>
              <w:t>Characteristic, role and sign</w:t>
            </w:r>
            <w:r w:rsidR="00E20CE3">
              <w:rPr>
                <w:rFonts w:cs="Arial"/>
                <w:lang w:val="en-GB"/>
              </w:rPr>
              <w:t xml:space="preserve">ificance of financial framework. </w:t>
            </w:r>
            <w:r w:rsidRPr="00E20CE3">
              <w:rPr>
                <w:rFonts w:cs="Arial"/>
                <w:lang w:val="en-GB"/>
              </w:rPr>
              <w:t xml:space="preserve">The process of </w:t>
            </w:r>
            <w:r w:rsidR="00E20CE3">
              <w:rPr>
                <w:rFonts w:cs="Arial"/>
                <w:lang w:val="en-GB"/>
              </w:rPr>
              <w:t xml:space="preserve">adoption on financial framework. </w:t>
            </w:r>
            <w:r w:rsidR="0080734C" w:rsidRPr="00E20CE3">
              <w:rPr>
                <w:rFonts w:cs="Arial"/>
                <w:lang w:val="en-GB"/>
              </w:rPr>
              <w:t>Resources</w:t>
            </w:r>
            <w:r w:rsidR="00A45A62" w:rsidRPr="00E20CE3">
              <w:rPr>
                <w:rFonts w:cs="Arial"/>
                <w:lang w:val="en-GB"/>
              </w:rPr>
              <w:t xml:space="preserve"> </w:t>
            </w:r>
            <w:r w:rsidR="00E20CE3">
              <w:rPr>
                <w:rFonts w:cs="Arial"/>
                <w:lang w:val="en-GB"/>
              </w:rPr>
              <w:t xml:space="preserve">of the EU budget. </w:t>
            </w:r>
            <w:r w:rsidRPr="00E20CE3">
              <w:rPr>
                <w:rFonts w:cs="Arial"/>
                <w:lang w:val="en-GB"/>
              </w:rPr>
              <w:t>Characteristics and description of annual budget and its principles</w:t>
            </w:r>
            <w:r w:rsidR="00E20CE3">
              <w:rPr>
                <w:rFonts w:cs="Arial"/>
                <w:lang w:val="en-GB"/>
              </w:rPr>
              <w:t>.</w:t>
            </w:r>
            <w:r w:rsidR="0080734C" w:rsidRPr="00E20CE3">
              <w:rPr>
                <w:rFonts w:cs="Arial"/>
                <w:lang w:val="en-GB"/>
              </w:rPr>
              <w:t xml:space="preserve"> </w:t>
            </w:r>
            <w:r w:rsidR="00E20CE3">
              <w:rPr>
                <w:rFonts w:cs="Arial"/>
                <w:lang w:val="en-GB"/>
              </w:rPr>
              <w:t>Revenue and e</w:t>
            </w:r>
            <w:r w:rsidR="0080734C" w:rsidRPr="00E20CE3">
              <w:rPr>
                <w:rFonts w:cs="Arial"/>
                <w:lang w:val="en-GB"/>
              </w:rPr>
              <w:t>xpenditure of the EU budget</w:t>
            </w:r>
            <w:r w:rsidRPr="00E20CE3">
              <w:rPr>
                <w:rFonts w:cs="Arial"/>
                <w:lang w:val="en-GB"/>
              </w:rPr>
              <w:t>.</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The Common Agricultural Policy</w:t>
            </w:r>
            <w:r w:rsidR="00E20CE3">
              <w:rPr>
                <w:rFonts w:cs="Arial"/>
                <w:lang w:val="en-GB"/>
              </w:rPr>
              <w:t xml:space="preserve">. </w:t>
            </w:r>
            <w:r w:rsidRPr="00E20CE3">
              <w:rPr>
                <w:rFonts w:cs="Arial"/>
                <w:lang w:val="en-GB"/>
              </w:rPr>
              <w:t>Origins and original objectives of</w:t>
            </w:r>
            <w:r w:rsidR="00E20CE3">
              <w:rPr>
                <w:rFonts w:cs="Arial"/>
                <w:lang w:val="en-GB"/>
              </w:rPr>
              <w:t xml:space="preserve"> the Common Agricultural Policy. </w:t>
            </w:r>
            <w:r w:rsidRPr="00E20CE3">
              <w:rPr>
                <w:rFonts w:cs="Arial"/>
                <w:lang w:val="en-GB"/>
              </w:rPr>
              <w:t>Principles of CAP and characteristic o</w:t>
            </w:r>
            <w:r w:rsidR="00E20CE3">
              <w:rPr>
                <w:rFonts w:cs="Arial"/>
                <w:lang w:val="en-GB"/>
              </w:rPr>
              <w:t xml:space="preserve">f Community Market Organization. </w:t>
            </w:r>
            <w:r w:rsidRPr="00E20CE3">
              <w:rPr>
                <w:rFonts w:cs="Arial"/>
                <w:lang w:val="en-GB"/>
              </w:rPr>
              <w:t>Reforms of CAP.</w:t>
            </w:r>
          </w:p>
        </w:tc>
      </w:tr>
      <w:tr w:rsidR="0080734C" w:rsidRPr="0080734C"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Creation, basis and principles of the Single European Market</w:t>
            </w:r>
            <w:r w:rsidR="00E20CE3">
              <w:rPr>
                <w:rFonts w:cs="Arial"/>
                <w:lang w:val="en-GB"/>
              </w:rPr>
              <w:t xml:space="preserve">. </w:t>
            </w:r>
            <w:r w:rsidRPr="00E20CE3">
              <w:rPr>
                <w:rFonts w:cs="Arial"/>
                <w:lang w:val="en-GB"/>
              </w:rPr>
              <w:t xml:space="preserve">Creation and </w:t>
            </w:r>
            <w:r w:rsidR="00E20CE3">
              <w:rPr>
                <w:rFonts w:cs="Arial"/>
                <w:lang w:val="en-GB"/>
              </w:rPr>
              <w:t xml:space="preserve">historical evolution of the SEM. </w:t>
            </w:r>
            <w:r w:rsidRPr="00E20CE3">
              <w:rPr>
                <w:rFonts w:cs="Arial"/>
                <w:lang w:val="en-GB"/>
              </w:rPr>
              <w:t xml:space="preserve">The role of harmonization and mutual </w:t>
            </w:r>
            <w:r w:rsidR="00E20CE3">
              <w:rPr>
                <w:rFonts w:cs="Arial"/>
                <w:lang w:val="en-GB"/>
              </w:rPr>
              <w:t xml:space="preserve">recognition in creation of SEM. </w:t>
            </w:r>
            <w:r w:rsidRPr="00E20CE3">
              <w:rPr>
                <w:rFonts w:cs="Arial"/>
                <w:lang w:val="en-GB"/>
              </w:rPr>
              <w:t>Freedoms of the SEM.</w:t>
            </w:r>
          </w:p>
        </w:tc>
      </w:tr>
      <w:tr w:rsidR="0080734C" w:rsidRPr="00E20CE3"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E20CE3"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Pr>
                <w:rFonts w:eastAsia="Arial"/>
                <w:lang w:val="en-GB"/>
              </w:rPr>
              <w:t xml:space="preserve">EU Competition Policy. </w:t>
            </w:r>
            <w:r w:rsidR="009D1E5F" w:rsidRPr="00E20CE3">
              <w:rPr>
                <w:rFonts w:cs="Arial"/>
                <w:lang w:val="en-GB"/>
              </w:rPr>
              <w:t xml:space="preserve">Regulations regarding agreements between companies </w:t>
            </w:r>
            <w:r>
              <w:rPr>
                <w:rFonts w:cs="Arial"/>
                <w:lang w:val="en-GB"/>
              </w:rPr>
              <w:t xml:space="preserve">that restrict competition. </w:t>
            </w:r>
            <w:r w:rsidR="009D1E5F" w:rsidRPr="00E20CE3">
              <w:rPr>
                <w:rFonts w:cs="Arial"/>
                <w:lang w:val="en-GB"/>
              </w:rPr>
              <w:t>Regulations regar</w:t>
            </w:r>
            <w:r>
              <w:rPr>
                <w:rFonts w:cs="Arial"/>
                <w:lang w:val="en-GB"/>
              </w:rPr>
              <w:t xml:space="preserve">ding abuse of dominant position. </w:t>
            </w:r>
            <w:r w:rsidR="009D1E5F" w:rsidRPr="00E20CE3">
              <w:rPr>
                <w:rFonts w:cs="Arial"/>
                <w:lang w:val="en-GB"/>
              </w:rPr>
              <w:t>Regulations re</w:t>
            </w:r>
            <w:r>
              <w:rPr>
                <w:rFonts w:cs="Arial"/>
                <w:lang w:val="en-GB"/>
              </w:rPr>
              <w:t xml:space="preserve">garding state aid for companies. </w:t>
            </w:r>
            <w:r w:rsidR="009D1E5F" w:rsidRPr="00E20CE3">
              <w:rPr>
                <w:rFonts w:cs="Arial"/>
                <w:lang w:val="en-GB"/>
              </w:rPr>
              <w:t>Regulations regarding mergers of companies.</w:t>
            </w:r>
          </w:p>
        </w:tc>
      </w:tr>
      <w:tr w:rsidR="0080734C" w:rsidRPr="00E20CE3"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Economic and Monetary Union. Costs and benefits resulting from the single currency</w:t>
            </w:r>
            <w:r w:rsidR="00E20CE3">
              <w:rPr>
                <w:rFonts w:cs="Arial"/>
                <w:lang w:val="en-GB"/>
              </w:rPr>
              <w:t xml:space="preserve">. </w:t>
            </w:r>
            <w:r w:rsidRPr="00E20CE3">
              <w:rPr>
                <w:rFonts w:cs="Arial"/>
                <w:lang w:val="en-GB"/>
              </w:rPr>
              <w:t>Evolution of the EMU</w:t>
            </w:r>
            <w:r w:rsidR="00E20CE3">
              <w:rPr>
                <w:rFonts w:cs="Arial"/>
                <w:lang w:val="en-GB"/>
              </w:rPr>
              <w:t xml:space="preserve"> project and its accomplishment. </w:t>
            </w:r>
            <w:r w:rsidRPr="00E20CE3">
              <w:rPr>
                <w:rFonts w:cs="Arial"/>
                <w:lang w:val="en-GB"/>
              </w:rPr>
              <w:t>Nominal and real convergence criteri</w:t>
            </w:r>
            <w:r w:rsidR="00E20CE3">
              <w:rPr>
                <w:rFonts w:cs="Arial"/>
                <w:lang w:val="en-GB"/>
              </w:rPr>
              <w:t xml:space="preserve">a and Stability and Growth Pact. </w:t>
            </w:r>
            <w:r w:rsidRPr="00E20CE3">
              <w:rPr>
                <w:rFonts w:cs="Arial"/>
                <w:lang w:val="en-GB"/>
              </w:rPr>
              <w:t>Advantages and disadvantages of the introduction of single currency.</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pStyle w:val="Akapitzlist"/>
              <w:numPr>
                <w:ilvl w:val="0"/>
                <w:numId w:val="1"/>
              </w:numPr>
              <w:tabs>
                <w:tab w:val="left" w:pos="72"/>
              </w:tabs>
              <w:spacing w:before="40" w:after="40" w:line="240" w:lineRule="auto"/>
              <w:ind w:left="355" w:right="74"/>
              <w:jc w:val="both"/>
              <w:rPr>
                <w:rFonts w:cs="Arial"/>
                <w:lang w:val="en-GB"/>
              </w:rPr>
            </w:pPr>
            <w:r w:rsidRPr="0080734C">
              <w:rPr>
                <w:rFonts w:cs="Arial"/>
                <w:lang w:val="en-GB"/>
              </w:rPr>
              <w:t>Europe 2020 strategy, its objectives and implementation</w:t>
            </w:r>
            <w:r w:rsidR="00E20CE3">
              <w:rPr>
                <w:rFonts w:cs="Arial"/>
                <w:lang w:val="en-GB"/>
              </w:rPr>
              <w:t xml:space="preserve">. </w:t>
            </w:r>
            <w:r w:rsidR="00A45A62" w:rsidRPr="00E20CE3">
              <w:rPr>
                <w:rFonts w:cs="Arial"/>
                <w:lang w:val="en-GB"/>
              </w:rPr>
              <w:t>Lisbon Strategy a</w:t>
            </w:r>
            <w:r w:rsidR="00E20CE3">
              <w:rPr>
                <w:rFonts w:cs="Arial"/>
                <w:lang w:val="en-GB"/>
              </w:rPr>
              <w:t xml:space="preserve">s a predecessor of Europe 2020. </w:t>
            </w:r>
            <w:r w:rsidRPr="00E20CE3">
              <w:rPr>
                <w:rFonts w:cs="Arial"/>
                <w:lang w:val="en-GB"/>
              </w:rPr>
              <w:t>Priorities and targ</w:t>
            </w:r>
            <w:r w:rsidR="00E20CE3">
              <w:rPr>
                <w:rFonts w:cs="Arial"/>
                <w:lang w:val="en-GB"/>
              </w:rPr>
              <w:t xml:space="preserve">ets of the Europe 2020 strategy. </w:t>
            </w:r>
            <w:r w:rsidRPr="00E20CE3">
              <w:rPr>
                <w:rFonts w:cs="Arial"/>
                <w:lang w:val="en-GB"/>
              </w:rPr>
              <w:t>Implementation of the Europe 2020 strategy.</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Regional Policy of th</w:t>
            </w:r>
            <w:r w:rsidR="00E20CE3">
              <w:rPr>
                <w:rFonts w:eastAsia="Arial"/>
                <w:lang w:val="en-GB"/>
              </w:rPr>
              <w:t xml:space="preserve">e European Union, basis and aims. </w:t>
            </w:r>
            <w:r w:rsidRPr="00E20CE3">
              <w:rPr>
                <w:rFonts w:cs="Arial"/>
                <w:lang w:val="en-GB"/>
              </w:rPr>
              <w:t>Regio</w:t>
            </w:r>
            <w:r w:rsidR="00E20CE3">
              <w:rPr>
                <w:rFonts w:cs="Arial"/>
                <w:lang w:val="en-GB"/>
              </w:rPr>
              <w:t xml:space="preserve">nal diversity in European Union. </w:t>
            </w:r>
            <w:r w:rsidRPr="00E20CE3">
              <w:rPr>
                <w:rFonts w:cs="Arial"/>
                <w:lang w:val="en-GB"/>
              </w:rPr>
              <w:t>Origins, development and o</w:t>
            </w:r>
            <w:r w:rsidR="00E20CE3">
              <w:rPr>
                <w:rFonts w:cs="Arial"/>
                <w:lang w:val="en-GB"/>
              </w:rPr>
              <w:t xml:space="preserve">bjectives of EU Regional Policy. </w:t>
            </w:r>
            <w:r w:rsidRPr="00E20CE3">
              <w:rPr>
                <w:rFonts w:cs="Arial"/>
                <w:lang w:val="en-GB"/>
              </w:rPr>
              <w:t>Regional participation in EU Regional Policy making.</w:t>
            </w:r>
          </w:p>
        </w:tc>
      </w:tr>
      <w:tr w:rsidR="0080734C" w:rsidRPr="00E20CE3"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9D1E5F"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eastAsia="Arial"/>
                <w:lang w:val="en-GB"/>
              </w:rPr>
              <w:t>Creation of the Regional Development Program for the period 2014-2020 - workshop and simulation</w:t>
            </w:r>
            <w:r w:rsidR="00E20CE3">
              <w:rPr>
                <w:rFonts w:cs="Arial"/>
                <w:lang w:val="en-GB"/>
              </w:rPr>
              <w:t xml:space="preserve">. </w:t>
            </w:r>
            <w:r w:rsidRPr="00E20CE3">
              <w:rPr>
                <w:rFonts w:cs="Arial"/>
                <w:lang w:val="en-GB"/>
              </w:rPr>
              <w:t>Characteristics of chosen p</w:t>
            </w:r>
            <w:r w:rsidR="00E20CE3">
              <w:rPr>
                <w:rFonts w:cs="Arial"/>
                <w:lang w:val="en-GB"/>
              </w:rPr>
              <w:t xml:space="preserve">roblematic region and diagnosis. </w:t>
            </w:r>
            <w:r w:rsidRPr="00E20CE3">
              <w:rPr>
                <w:rFonts w:cs="Arial"/>
                <w:lang w:val="en-GB"/>
              </w:rPr>
              <w:t>Establishing object</w:t>
            </w:r>
            <w:r w:rsidR="00E20CE3">
              <w:rPr>
                <w:rFonts w:cs="Arial"/>
                <w:lang w:val="en-GB"/>
              </w:rPr>
              <w:t xml:space="preserve">ives of ROP for a chosen region. </w:t>
            </w:r>
            <w:r w:rsidRPr="00E20CE3">
              <w:rPr>
                <w:rFonts w:cs="Arial"/>
                <w:lang w:val="en-GB"/>
              </w:rPr>
              <w:t>Proposal of instruments and implementation of the ROP.</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E20CE3"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Pr>
                <w:noProof/>
                <w:lang w:val="en-GB"/>
              </w:rPr>
              <w:t>Financial support for small and medium e</w:t>
            </w:r>
            <w:r w:rsidR="009D1E5F" w:rsidRPr="0080734C">
              <w:rPr>
                <w:noProof/>
                <w:lang w:val="en-GB"/>
              </w:rPr>
              <w:t>nterprises in the European Union.</w:t>
            </w:r>
            <w:r>
              <w:rPr>
                <w:rFonts w:cs="Arial"/>
                <w:lang w:val="en-GB"/>
              </w:rPr>
              <w:t xml:space="preserve"> Significance of small and m</w:t>
            </w:r>
            <w:r w:rsidR="009D1E5F" w:rsidRPr="00E20CE3">
              <w:rPr>
                <w:rFonts w:cs="Arial"/>
                <w:lang w:val="en-GB"/>
              </w:rPr>
              <w:t xml:space="preserve">edium </w:t>
            </w:r>
            <w:r>
              <w:rPr>
                <w:rFonts w:cs="Arial"/>
                <w:lang w:val="en-GB"/>
              </w:rPr>
              <w:t xml:space="preserve">enterprises in the EU </w:t>
            </w:r>
            <w:r w:rsidR="009D1E5F" w:rsidRPr="00E20CE3">
              <w:rPr>
                <w:rFonts w:cs="Arial"/>
                <w:lang w:val="en-GB"/>
              </w:rPr>
              <w:t>Financial instrumen</w:t>
            </w:r>
            <w:r>
              <w:rPr>
                <w:rFonts w:cs="Arial"/>
                <w:lang w:val="en-GB"/>
              </w:rPr>
              <w:t>ts of support for SME in the EU. Financing of s</w:t>
            </w:r>
            <w:r w:rsidR="009D1E5F" w:rsidRPr="00E20CE3">
              <w:rPr>
                <w:rFonts w:cs="Arial"/>
                <w:lang w:val="en-GB"/>
              </w:rPr>
              <w:t>tart-ups in the European Union from the EU funds.</w:t>
            </w:r>
          </w:p>
        </w:tc>
      </w:tr>
      <w:tr w:rsidR="0080734C" w:rsidRPr="00101C70"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E20CE3" w:rsidRDefault="00E20CE3" w:rsidP="00E20CE3">
            <w:pPr>
              <w:numPr>
                <w:ilvl w:val="0"/>
                <w:numId w:val="1"/>
              </w:numPr>
              <w:tabs>
                <w:tab w:val="left" w:pos="355"/>
                <w:tab w:val="left" w:pos="1152"/>
                <w:tab w:val="left" w:pos="3456"/>
              </w:tabs>
              <w:spacing w:before="40" w:after="40" w:line="240" w:lineRule="auto"/>
              <w:ind w:left="357" w:right="74" w:hanging="357"/>
              <w:jc w:val="both"/>
              <w:rPr>
                <w:rFonts w:cs="Arial"/>
                <w:lang w:val="en-GB"/>
              </w:rPr>
            </w:pPr>
            <w:r>
              <w:rPr>
                <w:rFonts w:eastAsia="Arial"/>
                <w:lang w:val="en-GB"/>
              </w:rPr>
              <w:t>The EU's f</w:t>
            </w:r>
            <w:r w:rsidR="009D1E5F" w:rsidRPr="0080734C">
              <w:rPr>
                <w:rFonts w:eastAsia="Arial"/>
                <w:lang w:val="en-GB"/>
              </w:rPr>
              <w:t>oreign,</w:t>
            </w:r>
            <w:r>
              <w:rPr>
                <w:rFonts w:eastAsia="Arial"/>
                <w:lang w:val="en-GB"/>
              </w:rPr>
              <w:t xml:space="preserve"> security, and defence policies and j</w:t>
            </w:r>
            <w:r w:rsidR="009D1E5F" w:rsidRPr="0080734C">
              <w:rPr>
                <w:rFonts w:eastAsia="Arial"/>
                <w:lang w:val="en-GB"/>
              </w:rPr>
              <w:t>ustice and home affairs</w:t>
            </w:r>
            <w:r>
              <w:rPr>
                <w:rFonts w:cs="Arial"/>
                <w:lang w:val="en-GB"/>
              </w:rPr>
              <w:t xml:space="preserve">. </w:t>
            </w:r>
            <w:r w:rsidR="009D1E5F" w:rsidRPr="00E20CE3">
              <w:rPr>
                <w:rFonts w:cs="Arial"/>
                <w:lang w:val="en-GB"/>
              </w:rPr>
              <w:t>Development, evolution and significance of the European</w:t>
            </w:r>
            <w:r>
              <w:rPr>
                <w:rFonts w:cs="Arial"/>
                <w:lang w:val="en-GB"/>
              </w:rPr>
              <w:t xml:space="preserve"> Political Cooperation and CFSP. </w:t>
            </w:r>
            <w:r w:rsidR="009D1E5F" w:rsidRPr="00E20CE3">
              <w:rPr>
                <w:rFonts w:cs="Arial"/>
                <w:lang w:val="en-GB"/>
              </w:rPr>
              <w:t>Development, evo</w:t>
            </w:r>
            <w:r>
              <w:rPr>
                <w:rFonts w:cs="Arial"/>
                <w:lang w:val="en-GB"/>
              </w:rPr>
              <w:t xml:space="preserve">lution and significance of the European security and defence policy. </w:t>
            </w:r>
            <w:r w:rsidR="009D1E5F" w:rsidRPr="00E20CE3">
              <w:rPr>
                <w:rFonts w:cs="Arial"/>
                <w:lang w:val="en-GB"/>
              </w:rPr>
              <w:t>Development, evolution and significance of the cooperation in justice and home affairs.</w:t>
            </w:r>
          </w:p>
        </w:tc>
      </w:tr>
      <w:tr w:rsidR="0080734C" w:rsidRPr="0080734C" w:rsidTr="00180F85">
        <w:trPr>
          <w:trHeight w:val="29"/>
        </w:trPr>
        <w:tc>
          <w:tcPr>
            <w:tcW w:w="2055" w:type="dxa"/>
            <w:vMerge/>
          </w:tcPr>
          <w:p w:rsidR="009D1E5F" w:rsidRPr="0080734C" w:rsidRDefault="009D1E5F" w:rsidP="00180F85">
            <w:pPr>
              <w:spacing w:before="60" w:after="60" w:line="240" w:lineRule="auto"/>
              <w:rPr>
                <w:b/>
                <w:bCs/>
                <w:lang w:val="en-GB"/>
              </w:rPr>
            </w:pPr>
          </w:p>
        </w:tc>
        <w:tc>
          <w:tcPr>
            <w:tcW w:w="7229" w:type="dxa"/>
            <w:vAlign w:val="center"/>
          </w:tcPr>
          <w:p w:rsidR="009D1E5F" w:rsidRPr="0080734C" w:rsidRDefault="009D1E5F" w:rsidP="00180F85">
            <w:pPr>
              <w:numPr>
                <w:ilvl w:val="0"/>
                <w:numId w:val="1"/>
              </w:numPr>
              <w:tabs>
                <w:tab w:val="left" w:pos="355"/>
                <w:tab w:val="left" w:pos="1152"/>
                <w:tab w:val="left" w:pos="3456"/>
              </w:tabs>
              <w:spacing w:before="40" w:after="40" w:line="240" w:lineRule="auto"/>
              <w:ind w:left="357" w:right="74" w:hanging="357"/>
              <w:jc w:val="both"/>
              <w:rPr>
                <w:rFonts w:cs="Arial"/>
                <w:lang w:val="en-GB"/>
              </w:rPr>
            </w:pPr>
            <w:r w:rsidRPr="0080734C">
              <w:rPr>
                <w:rFonts w:cs="Arial"/>
                <w:lang w:val="en-GB"/>
              </w:rPr>
              <w:t>Test</w:t>
            </w:r>
          </w:p>
        </w:tc>
      </w:tr>
      <w:tr w:rsidR="0080734C" w:rsidRPr="00101C70" w:rsidTr="00180F85">
        <w:trPr>
          <w:trHeight w:val="196"/>
        </w:trPr>
        <w:tc>
          <w:tcPr>
            <w:tcW w:w="2055" w:type="dxa"/>
          </w:tcPr>
          <w:p w:rsidR="009D1E5F" w:rsidRPr="0080734C" w:rsidRDefault="009D1E5F" w:rsidP="00180F85">
            <w:pPr>
              <w:spacing w:before="60" w:after="60" w:line="240" w:lineRule="auto"/>
              <w:rPr>
                <w:b/>
                <w:bCs/>
                <w:lang w:val="en-GB"/>
              </w:rPr>
            </w:pPr>
            <w:r w:rsidRPr="0080734C">
              <w:rPr>
                <w:b/>
                <w:bCs/>
                <w:lang w:val="en-GB"/>
              </w:rPr>
              <w:t>Prerequisites</w:t>
            </w:r>
          </w:p>
        </w:tc>
        <w:tc>
          <w:tcPr>
            <w:tcW w:w="7229" w:type="dxa"/>
            <w:vAlign w:val="center"/>
          </w:tcPr>
          <w:p w:rsidR="00E20CE3" w:rsidRPr="00E20CE3" w:rsidRDefault="00E20CE3" w:rsidP="00E20CE3">
            <w:pPr>
              <w:pStyle w:val="Akapitzlist"/>
              <w:numPr>
                <w:ilvl w:val="0"/>
                <w:numId w:val="13"/>
              </w:numPr>
              <w:spacing w:before="20" w:after="20" w:line="240" w:lineRule="auto"/>
              <w:ind w:left="356" w:right="72" w:hanging="283"/>
              <w:jc w:val="both"/>
              <w:rPr>
                <w:rFonts w:cs="Calibri"/>
                <w:lang w:val="en-GB"/>
              </w:rPr>
            </w:pPr>
            <w:r w:rsidRPr="00E20CE3">
              <w:rPr>
                <w:rFonts w:cs="Calibri"/>
                <w:lang w:val="en-GB"/>
              </w:rPr>
              <w:t>English language proficiency</w:t>
            </w:r>
          </w:p>
          <w:p w:rsidR="00E20CE3" w:rsidRPr="00E20CE3" w:rsidRDefault="00E20CE3" w:rsidP="00E20CE3">
            <w:pPr>
              <w:pStyle w:val="Akapitzlist"/>
              <w:numPr>
                <w:ilvl w:val="0"/>
                <w:numId w:val="13"/>
              </w:numPr>
              <w:spacing w:before="20" w:after="20" w:line="240" w:lineRule="auto"/>
              <w:ind w:left="356" w:right="72" w:hanging="283"/>
              <w:jc w:val="both"/>
              <w:rPr>
                <w:rFonts w:cs="Calibri"/>
                <w:lang w:val="en-GB"/>
              </w:rPr>
            </w:pPr>
            <w:r w:rsidRPr="00E20CE3">
              <w:rPr>
                <w:rFonts w:cs="Calibri"/>
                <w:lang w:val="en-GB"/>
              </w:rPr>
              <w:t>g</w:t>
            </w:r>
            <w:r w:rsidR="009D1E5F" w:rsidRPr="00E20CE3">
              <w:rPr>
                <w:rFonts w:cs="Calibri"/>
                <w:lang w:val="en-GB"/>
              </w:rPr>
              <w:t xml:space="preserve">eneral  knowledge obtained in the high school about the </w:t>
            </w:r>
            <w:r w:rsidRPr="00E20CE3">
              <w:rPr>
                <w:rFonts w:cs="Calibri"/>
                <w:lang w:val="en-GB"/>
              </w:rPr>
              <w:t>contemporary history of Europe</w:t>
            </w:r>
          </w:p>
          <w:p w:rsidR="00E20CE3" w:rsidRPr="00E20CE3" w:rsidRDefault="00E20CE3" w:rsidP="00E20CE3">
            <w:pPr>
              <w:pStyle w:val="Akapitzlist"/>
              <w:numPr>
                <w:ilvl w:val="0"/>
                <w:numId w:val="13"/>
              </w:numPr>
              <w:spacing w:before="20" w:after="20" w:line="240" w:lineRule="auto"/>
              <w:ind w:left="356" w:right="72" w:hanging="283"/>
              <w:jc w:val="both"/>
              <w:rPr>
                <w:rFonts w:cs="Calibri"/>
                <w:lang w:val="en-GB"/>
              </w:rPr>
            </w:pPr>
            <w:r w:rsidRPr="00E20CE3">
              <w:rPr>
                <w:rFonts w:cs="Calibri"/>
                <w:lang w:val="en-GB"/>
              </w:rPr>
              <w:t>basic knowledge about the functioning of democracy and processes occurring in the political systems</w:t>
            </w:r>
          </w:p>
          <w:p w:rsidR="009D1E5F" w:rsidRPr="00E20CE3" w:rsidRDefault="00E20CE3" w:rsidP="00E20CE3">
            <w:pPr>
              <w:pStyle w:val="Akapitzlist"/>
              <w:numPr>
                <w:ilvl w:val="0"/>
                <w:numId w:val="13"/>
              </w:numPr>
              <w:spacing w:before="20" w:after="20" w:line="240" w:lineRule="auto"/>
              <w:ind w:left="356" w:right="72" w:hanging="283"/>
              <w:jc w:val="both"/>
              <w:rPr>
                <w:rFonts w:cs="Calibri"/>
                <w:lang w:val="en-GB"/>
              </w:rPr>
            </w:pPr>
            <w:r w:rsidRPr="00E20CE3">
              <w:rPr>
                <w:rFonts w:cs="Calibri"/>
                <w:lang w:val="en-GB"/>
              </w:rPr>
              <w:t>basic knowledge about the functioning of the market economy</w:t>
            </w:r>
          </w:p>
        </w:tc>
      </w:tr>
      <w:tr w:rsidR="0080734C" w:rsidRPr="00101C70" w:rsidTr="00180F85">
        <w:trPr>
          <w:trHeight w:val="293"/>
        </w:trPr>
        <w:tc>
          <w:tcPr>
            <w:tcW w:w="2055" w:type="dxa"/>
            <w:vMerge w:val="restart"/>
          </w:tcPr>
          <w:p w:rsidR="009D1E5F" w:rsidRPr="000C6897" w:rsidRDefault="009D1E5F" w:rsidP="00180F85">
            <w:pPr>
              <w:spacing w:before="60" w:after="60" w:line="240" w:lineRule="auto"/>
              <w:rPr>
                <w:b/>
                <w:bCs/>
                <w:lang w:val="en-GB"/>
              </w:rPr>
            </w:pPr>
            <w:r w:rsidRPr="0080734C">
              <w:rPr>
                <w:b/>
                <w:bCs/>
                <w:lang w:val="en-GB"/>
              </w:rPr>
              <w:t>Learning outcomes</w:t>
            </w:r>
          </w:p>
        </w:tc>
        <w:tc>
          <w:tcPr>
            <w:tcW w:w="7229" w:type="dxa"/>
          </w:tcPr>
          <w:p w:rsidR="009D1E5F" w:rsidRPr="0080734C" w:rsidRDefault="009D1E5F" w:rsidP="00180F85">
            <w:pPr>
              <w:spacing w:before="40" w:after="40" w:line="240" w:lineRule="auto"/>
              <w:ind w:left="68" w:right="74"/>
              <w:jc w:val="both"/>
              <w:rPr>
                <w:rFonts w:cs="Calibri"/>
                <w:u w:val="single"/>
                <w:lang w:val="en-GB"/>
              </w:rPr>
            </w:pPr>
            <w:r w:rsidRPr="0080734C">
              <w:rPr>
                <w:rFonts w:cs="Calibri"/>
                <w:u w:val="single"/>
                <w:lang w:val="en-GB"/>
              </w:rPr>
              <w:t>Knowledge</w:t>
            </w:r>
          </w:p>
          <w:p w:rsidR="009D1E5F" w:rsidRPr="000C6897" w:rsidRDefault="009D1E5F" w:rsidP="000C6897">
            <w:pPr>
              <w:pStyle w:val="Akapitzlist"/>
              <w:numPr>
                <w:ilvl w:val="0"/>
                <w:numId w:val="14"/>
              </w:numPr>
              <w:spacing w:before="40" w:after="40" w:line="240" w:lineRule="auto"/>
              <w:ind w:left="356" w:right="74" w:hanging="283"/>
              <w:jc w:val="both"/>
              <w:rPr>
                <w:rFonts w:eastAsia="Arial"/>
                <w:lang w:val="en-GB"/>
              </w:rPr>
            </w:pPr>
            <w:r w:rsidRPr="000C6897">
              <w:rPr>
                <w:rFonts w:eastAsia="Arial"/>
                <w:lang w:val="en-GB"/>
              </w:rPr>
              <w:t>Student knows the basic terminology, ideas and concepts and has a basic and structured knowledge regarding EU law, the functioning of the EU institutions and the principles of their decision-making.</w:t>
            </w:r>
          </w:p>
          <w:p w:rsidR="009D1E5F" w:rsidRPr="000C6897" w:rsidRDefault="009D1E5F" w:rsidP="000C6897">
            <w:pPr>
              <w:pStyle w:val="Akapitzlist"/>
              <w:numPr>
                <w:ilvl w:val="0"/>
                <w:numId w:val="14"/>
              </w:numPr>
              <w:spacing w:before="40" w:after="40" w:line="240" w:lineRule="auto"/>
              <w:ind w:left="356" w:right="74" w:hanging="283"/>
              <w:jc w:val="both"/>
              <w:rPr>
                <w:rFonts w:eastAsia="Arial"/>
                <w:lang w:val="en-GB"/>
              </w:rPr>
            </w:pPr>
            <w:r w:rsidRPr="000C6897">
              <w:rPr>
                <w:rFonts w:eastAsia="Arial"/>
                <w:lang w:val="en-GB"/>
              </w:rPr>
              <w:t>Student has structured knowledge concerning economic integration, understands causes, course and consequences of European integration, including these regarding the European single market and economic and monetary union.</w:t>
            </w:r>
          </w:p>
          <w:p w:rsidR="009D1E5F" w:rsidRPr="000C6897" w:rsidRDefault="009D1E5F" w:rsidP="000C6897">
            <w:pPr>
              <w:pStyle w:val="Akapitzlist"/>
              <w:numPr>
                <w:ilvl w:val="0"/>
                <w:numId w:val="14"/>
              </w:numPr>
              <w:spacing w:before="40" w:after="40" w:line="240" w:lineRule="auto"/>
              <w:ind w:left="356" w:right="74" w:hanging="283"/>
              <w:jc w:val="both"/>
              <w:rPr>
                <w:rFonts w:eastAsia="Arial"/>
                <w:lang w:val="en-GB"/>
              </w:rPr>
            </w:pPr>
            <w:r w:rsidRPr="000C6897">
              <w:rPr>
                <w:rFonts w:eastAsia="Arial"/>
                <w:lang w:val="en-GB"/>
              </w:rPr>
              <w:t>Student knows the mechanisms of the European Union's policies, understands their objectives and principles.</w:t>
            </w:r>
          </w:p>
        </w:tc>
      </w:tr>
      <w:tr w:rsidR="0080734C" w:rsidRPr="00101C70" w:rsidTr="00180F85">
        <w:trPr>
          <w:trHeight w:val="370"/>
        </w:trPr>
        <w:tc>
          <w:tcPr>
            <w:tcW w:w="2055" w:type="dxa"/>
            <w:vMerge/>
          </w:tcPr>
          <w:p w:rsidR="009D1E5F" w:rsidRPr="0080734C" w:rsidRDefault="009D1E5F" w:rsidP="00180F85">
            <w:pPr>
              <w:spacing w:before="60" w:after="60" w:line="240" w:lineRule="auto"/>
              <w:rPr>
                <w:b/>
                <w:bCs/>
                <w:lang w:val="en-GB"/>
              </w:rPr>
            </w:pPr>
          </w:p>
        </w:tc>
        <w:tc>
          <w:tcPr>
            <w:tcW w:w="7229" w:type="dxa"/>
          </w:tcPr>
          <w:p w:rsidR="009D1E5F" w:rsidRPr="0080734C" w:rsidRDefault="009D1E5F" w:rsidP="00180F85">
            <w:pPr>
              <w:spacing w:before="40" w:after="40" w:line="240" w:lineRule="auto"/>
              <w:ind w:left="68" w:right="74"/>
              <w:jc w:val="both"/>
              <w:rPr>
                <w:rFonts w:cs="Arial"/>
                <w:u w:val="single"/>
                <w:lang w:val="en-GB"/>
              </w:rPr>
            </w:pPr>
            <w:r w:rsidRPr="0080734C">
              <w:rPr>
                <w:rFonts w:cs="Arial"/>
                <w:u w:val="single"/>
                <w:lang w:val="en-GB"/>
              </w:rPr>
              <w:t>Skills</w:t>
            </w:r>
          </w:p>
          <w:p w:rsidR="009D1E5F" w:rsidRPr="000C6897" w:rsidRDefault="009D1E5F" w:rsidP="000C6897">
            <w:pPr>
              <w:pStyle w:val="Akapitzlist"/>
              <w:numPr>
                <w:ilvl w:val="0"/>
                <w:numId w:val="15"/>
              </w:numPr>
              <w:spacing w:before="40" w:after="40" w:line="240" w:lineRule="auto"/>
              <w:ind w:left="356" w:right="74" w:hanging="283"/>
              <w:jc w:val="both"/>
              <w:rPr>
                <w:rFonts w:cs="Arial"/>
                <w:u w:val="single"/>
                <w:lang w:val="en-GB"/>
              </w:rPr>
            </w:pPr>
            <w:r w:rsidRPr="000C6897">
              <w:rPr>
                <w:rFonts w:eastAsia="Arial"/>
                <w:lang w:val="en-GB"/>
              </w:rPr>
              <w:t xml:space="preserve">Student properly uses the concepts of international economic relations, is able to interpret correctly the phenomenon of European integration. </w:t>
            </w:r>
          </w:p>
          <w:p w:rsidR="009D1E5F" w:rsidRPr="000C6897" w:rsidRDefault="009D1E5F" w:rsidP="000C6897">
            <w:pPr>
              <w:pStyle w:val="Akapitzlist"/>
              <w:numPr>
                <w:ilvl w:val="0"/>
                <w:numId w:val="15"/>
              </w:numPr>
              <w:spacing w:before="40" w:after="40" w:line="240" w:lineRule="auto"/>
              <w:ind w:left="356" w:right="74" w:hanging="283"/>
              <w:jc w:val="both"/>
              <w:rPr>
                <w:rFonts w:cs="Arial"/>
                <w:u w:val="single"/>
                <w:lang w:val="en-GB"/>
              </w:rPr>
            </w:pPr>
            <w:r w:rsidRPr="000C6897">
              <w:rPr>
                <w:rFonts w:eastAsia="Arial"/>
                <w:lang w:val="en-GB"/>
              </w:rPr>
              <w:t>Student is able to interpret the basic problems and processes of contemporary  world economy, their causes and course, knows how to use the basic theoretical knowledge to analyse specific phenomena and processes of European integration.</w:t>
            </w:r>
          </w:p>
          <w:p w:rsidR="009D1E5F" w:rsidRPr="000C6897" w:rsidRDefault="009D1E5F" w:rsidP="000C6897">
            <w:pPr>
              <w:pStyle w:val="Akapitzlist"/>
              <w:numPr>
                <w:ilvl w:val="0"/>
                <w:numId w:val="15"/>
              </w:numPr>
              <w:spacing w:before="40" w:after="40" w:line="240" w:lineRule="auto"/>
              <w:ind w:left="356" w:right="74" w:hanging="283"/>
              <w:jc w:val="both"/>
              <w:rPr>
                <w:rFonts w:cs="Arial"/>
                <w:u w:val="single"/>
                <w:lang w:val="en-GB"/>
              </w:rPr>
            </w:pPr>
            <w:r w:rsidRPr="000C6897">
              <w:rPr>
                <w:rFonts w:eastAsia="Arial"/>
                <w:lang w:val="en-GB"/>
              </w:rPr>
              <w:t>Student is able to make observations and analysis of basic economic processes taking place in the European Union, can interpret necessary statistical data and economic indicators, and forecast the economic processes and phenomena; student has the ability to understand and analyse the impact of particular economic policies, especially the European Union's Policy.</w:t>
            </w:r>
          </w:p>
        </w:tc>
      </w:tr>
      <w:tr w:rsidR="0080734C" w:rsidRPr="00101C70" w:rsidTr="00180F85">
        <w:trPr>
          <w:trHeight w:val="276"/>
        </w:trPr>
        <w:tc>
          <w:tcPr>
            <w:tcW w:w="2055" w:type="dxa"/>
            <w:vMerge/>
          </w:tcPr>
          <w:p w:rsidR="009D1E5F" w:rsidRPr="0080734C" w:rsidRDefault="009D1E5F" w:rsidP="00180F85">
            <w:pPr>
              <w:spacing w:before="60" w:after="60" w:line="240" w:lineRule="auto"/>
              <w:rPr>
                <w:b/>
                <w:bCs/>
                <w:lang w:val="en-GB"/>
              </w:rPr>
            </w:pPr>
          </w:p>
        </w:tc>
        <w:tc>
          <w:tcPr>
            <w:tcW w:w="7229" w:type="dxa"/>
          </w:tcPr>
          <w:p w:rsidR="009D1E5F" w:rsidRPr="0080734C" w:rsidRDefault="009D1E5F" w:rsidP="00180F85">
            <w:pPr>
              <w:spacing w:before="40" w:after="40" w:line="240" w:lineRule="auto"/>
              <w:ind w:left="68" w:right="74"/>
              <w:jc w:val="both"/>
              <w:rPr>
                <w:rFonts w:cs="Arial"/>
                <w:u w:val="single"/>
                <w:lang w:val="en-GB"/>
              </w:rPr>
            </w:pPr>
            <w:r w:rsidRPr="0080734C">
              <w:rPr>
                <w:rFonts w:cs="Arial"/>
                <w:u w:val="single"/>
                <w:lang w:val="en-GB"/>
              </w:rPr>
              <w:t>Competences</w:t>
            </w:r>
          </w:p>
          <w:p w:rsidR="009D1E5F" w:rsidRPr="000C6897" w:rsidRDefault="009D1E5F" w:rsidP="000C6897">
            <w:pPr>
              <w:pStyle w:val="Akapitzlist"/>
              <w:numPr>
                <w:ilvl w:val="0"/>
                <w:numId w:val="16"/>
              </w:numPr>
              <w:spacing w:before="40" w:after="40" w:line="240" w:lineRule="auto"/>
              <w:ind w:left="356" w:right="74" w:hanging="283"/>
              <w:jc w:val="both"/>
              <w:rPr>
                <w:rFonts w:cs="Arial"/>
                <w:u w:val="single"/>
                <w:lang w:val="en-GB"/>
              </w:rPr>
            </w:pPr>
            <w:r w:rsidRPr="000C6897">
              <w:rPr>
                <w:rFonts w:eastAsia="Arial"/>
                <w:lang w:val="en-GB"/>
              </w:rPr>
              <w:lastRenderedPageBreak/>
              <w:t>Student has the ability to collect and pass on information regarding changing situation in the European Union.</w:t>
            </w:r>
          </w:p>
          <w:p w:rsidR="009D1E5F" w:rsidRPr="000C6897" w:rsidRDefault="009D1E5F" w:rsidP="000C6897">
            <w:pPr>
              <w:pStyle w:val="Akapitzlist"/>
              <w:numPr>
                <w:ilvl w:val="0"/>
                <w:numId w:val="16"/>
              </w:numPr>
              <w:spacing w:before="40" w:after="40" w:line="240" w:lineRule="auto"/>
              <w:ind w:left="356" w:right="74" w:hanging="283"/>
              <w:jc w:val="both"/>
              <w:rPr>
                <w:rFonts w:cs="Arial"/>
                <w:u w:val="single"/>
                <w:lang w:val="en-GB"/>
              </w:rPr>
            </w:pPr>
            <w:r w:rsidRPr="000C6897">
              <w:rPr>
                <w:rFonts w:eastAsia="Arial"/>
                <w:lang w:val="en-GB"/>
              </w:rPr>
              <w:t>Student correctly identifies socio-economic problems related to the functioning of a market economy and the Single European Market.</w:t>
            </w:r>
          </w:p>
          <w:p w:rsidR="009D1E5F" w:rsidRPr="000C6897" w:rsidRDefault="009D1E5F" w:rsidP="000C6897">
            <w:pPr>
              <w:pStyle w:val="Akapitzlist"/>
              <w:numPr>
                <w:ilvl w:val="0"/>
                <w:numId w:val="16"/>
              </w:numPr>
              <w:spacing w:before="40" w:after="40" w:line="240" w:lineRule="auto"/>
              <w:ind w:left="356" w:right="74" w:hanging="283"/>
              <w:jc w:val="both"/>
              <w:rPr>
                <w:rFonts w:cs="Arial"/>
                <w:u w:val="single"/>
                <w:lang w:val="en-GB"/>
              </w:rPr>
            </w:pPr>
            <w:r w:rsidRPr="000C6897">
              <w:rPr>
                <w:rFonts w:eastAsia="Arial"/>
                <w:lang w:val="en-GB"/>
              </w:rPr>
              <w:t>Student is able to participate effectively in the making  and execution of group projects concerning the functioning of contemporary enterprises and the economy in a context of increasing internationalization and the development of integration processes.</w:t>
            </w:r>
          </w:p>
        </w:tc>
      </w:tr>
      <w:tr w:rsidR="0080734C" w:rsidRPr="00101C70" w:rsidTr="00180F85">
        <w:trPr>
          <w:trHeight w:val="261"/>
        </w:trPr>
        <w:tc>
          <w:tcPr>
            <w:tcW w:w="2055" w:type="dxa"/>
            <w:vMerge w:val="restart"/>
          </w:tcPr>
          <w:p w:rsidR="009D1E5F" w:rsidRPr="007500A3" w:rsidRDefault="009D1E5F" w:rsidP="00180F85">
            <w:pPr>
              <w:spacing w:before="60" w:after="60" w:line="240" w:lineRule="auto"/>
              <w:rPr>
                <w:b/>
                <w:bCs/>
                <w:lang w:val="en-GB"/>
              </w:rPr>
            </w:pPr>
            <w:r w:rsidRPr="0080734C">
              <w:rPr>
                <w:b/>
                <w:bCs/>
                <w:lang w:val="en-GB"/>
              </w:rPr>
              <w:lastRenderedPageBreak/>
              <w:t>Selected literature</w:t>
            </w:r>
          </w:p>
        </w:tc>
        <w:tc>
          <w:tcPr>
            <w:tcW w:w="7229" w:type="dxa"/>
          </w:tcPr>
          <w:p w:rsidR="009D1E5F" w:rsidRPr="000C6897" w:rsidRDefault="007500A3" w:rsidP="007500A3">
            <w:pPr>
              <w:numPr>
                <w:ilvl w:val="0"/>
                <w:numId w:val="2"/>
              </w:numPr>
              <w:spacing w:before="20" w:after="20" w:line="240" w:lineRule="auto"/>
              <w:ind w:left="356" w:right="74" w:hanging="282"/>
              <w:jc w:val="both"/>
              <w:rPr>
                <w:rFonts w:cs="Calibri"/>
                <w:sz w:val="20"/>
                <w:szCs w:val="20"/>
                <w:lang w:val="en-GB"/>
              </w:rPr>
            </w:pPr>
            <w:proofErr w:type="spellStart"/>
            <w:r>
              <w:rPr>
                <w:rFonts w:eastAsia="Arial"/>
                <w:sz w:val="20"/>
                <w:szCs w:val="20"/>
                <w:lang w:val="en-GB"/>
              </w:rPr>
              <w:t>Cini</w:t>
            </w:r>
            <w:proofErr w:type="spellEnd"/>
            <w:r>
              <w:rPr>
                <w:rFonts w:eastAsia="Arial"/>
                <w:sz w:val="20"/>
                <w:szCs w:val="20"/>
                <w:lang w:val="en-GB"/>
              </w:rPr>
              <w:t xml:space="preserve"> M., </w:t>
            </w:r>
            <w:proofErr w:type="spellStart"/>
            <w:r>
              <w:rPr>
                <w:rFonts w:eastAsia="Arial"/>
                <w:sz w:val="20"/>
                <w:szCs w:val="20"/>
                <w:lang w:val="en-GB"/>
              </w:rPr>
              <w:t>Borragan</w:t>
            </w:r>
            <w:proofErr w:type="spellEnd"/>
            <w:r>
              <w:rPr>
                <w:rFonts w:eastAsia="Arial"/>
                <w:sz w:val="20"/>
                <w:szCs w:val="20"/>
                <w:lang w:val="en-GB"/>
              </w:rPr>
              <w:t xml:space="preserve"> N.</w:t>
            </w:r>
            <w:r w:rsidR="000C6897">
              <w:rPr>
                <w:rFonts w:eastAsia="Arial"/>
                <w:sz w:val="20"/>
                <w:szCs w:val="20"/>
                <w:lang w:val="en-GB"/>
              </w:rPr>
              <w:t>P</w:t>
            </w:r>
            <w:r>
              <w:rPr>
                <w:rFonts w:eastAsia="Arial"/>
                <w:sz w:val="20"/>
                <w:szCs w:val="20"/>
                <w:lang w:val="en-GB"/>
              </w:rPr>
              <w:t>-S.,</w:t>
            </w:r>
            <w:r w:rsidR="000C6897">
              <w:rPr>
                <w:rFonts w:eastAsia="Arial"/>
                <w:sz w:val="20"/>
                <w:szCs w:val="20"/>
                <w:lang w:val="en-GB"/>
              </w:rPr>
              <w:t xml:space="preserve"> </w:t>
            </w:r>
            <w:r w:rsidR="009D1E5F" w:rsidRPr="007500A3">
              <w:rPr>
                <w:rFonts w:eastAsia="Arial"/>
                <w:i/>
                <w:sz w:val="20"/>
                <w:szCs w:val="20"/>
                <w:lang w:val="en-GB"/>
              </w:rPr>
              <w:t>European Union Politics</w:t>
            </w:r>
            <w:r w:rsidR="009D1E5F" w:rsidRPr="000C6897">
              <w:rPr>
                <w:rFonts w:eastAsia="Arial"/>
                <w:sz w:val="20"/>
                <w:szCs w:val="20"/>
                <w:lang w:val="en-GB"/>
              </w:rPr>
              <w:t>, Oxford University Press</w:t>
            </w:r>
            <w:r>
              <w:rPr>
                <w:rFonts w:eastAsia="Arial"/>
                <w:sz w:val="20"/>
                <w:szCs w:val="20"/>
                <w:lang w:val="en-GB"/>
              </w:rPr>
              <w:t>, Oxford</w:t>
            </w:r>
            <w:r w:rsidR="009D1E5F" w:rsidRPr="000C6897">
              <w:rPr>
                <w:rFonts w:eastAsia="Arial"/>
                <w:sz w:val="20"/>
                <w:szCs w:val="20"/>
                <w:lang w:val="en-GB"/>
              </w:rPr>
              <w:t xml:space="preserve"> 2016</w:t>
            </w:r>
          </w:p>
        </w:tc>
      </w:tr>
      <w:tr w:rsidR="0080734C" w:rsidRPr="00101C70" w:rsidTr="00180F85">
        <w:trPr>
          <w:trHeight w:val="222"/>
        </w:trPr>
        <w:tc>
          <w:tcPr>
            <w:tcW w:w="2055" w:type="dxa"/>
            <w:vMerge/>
          </w:tcPr>
          <w:p w:rsidR="009D1E5F" w:rsidRPr="0080734C" w:rsidRDefault="009D1E5F" w:rsidP="00180F85">
            <w:pPr>
              <w:spacing w:before="60" w:after="60" w:line="240" w:lineRule="auto"/>
              <w:rPr>
                <w:b/>
                <w:bCs/>
                <w:lang w:val="en-GB"/>
              </w:rPr>
            </w:pPr>
          </w:p>
        </w:tc>
        <w:tc>
          <w:tcPr>
            <w:tcW w:w="7229" w:type="dxa"/>
          </w:tcPr>
          <w:p w:rsidR="009D1E5F" w:rsidRPr="000C6897" w:rsidRDefault="007500A3" w:rsidP="007500A3">
            <w:pPr>
              <w:numPr>
                <w:ilvl w:val="0"/>
                <w:numId w:val="2"/>
              </w:numPr>
              <w:spacing w:before="20" w:after="20" w:line="240" w:lineRule="auto"/>
              <w:ind w:left="356" w:right="74" w:hanging="282"/>
              <w:jc w:val="both"/>
              <w:rPr>
                <w:rFonts w:cs="Calibri"/>
                <w:sz w:val="20"/>
                <w:szCs w:val="20"/>
                <w:lang w:val="en-GB"/>
              </w:rPr>
            </w:pPr>
            <w:proofErr w:type="spellStart"/>
            <w:r>
              <w:rPr>
                <w:rFonts w:eastAsia="Arial"/>
                <w:sz w:val="20"/>
                <w:szCs w:val="20"/>
                <w:lang w:val="en-GB"/>
              </w:rPr>
              <w:t>Bomberg</w:t>
            </w:r>
            <w:proofErr w:type="spellEnd"/>
            <w:r>
              <w:rPr>
                <w:rFonts w:eastAsia="Arial"/>
                <w:sz w:val="20"/>
                <w:szCs w:val="20"/>
                <w:lang w:val="en-GB"/>
              </w:rPr>
              <w:t xml:space="preserve"> E., Peterson J., </w:t>
            </w:r>
            <w:proofErr w:type="spellStart"/>
            <w:r>
              <w:rPr>
                <w:rFonts w:eastAsia="Arial"/>
                <w:sz w:val="20"/>
                <w:szCs w:val="20"/>
                <w:lang w:val="en-GB"/>
              </w:rPr>
              <w:t>Stubb</w:t>
            </w:r>
            <w:proofErr w:type="spellEnd"/>
            <w:r>
              <w:rPr>
                <w:rFonts w:eastAsia="Arial"/>
                <w:sz w:val="20"/>
                <w:szCs w:val="20"/>
                <w:lang w:val="en-GB"/>
              </w:rPr>
              <w:t xml:space="preserve"> A., </w:t>
            </w:r>
            <w:r w:rsidR="009D1E5F" w:rsidRPr="007500A3">
              <w:rPr>
                <w:rFonts w:eastAsia="Arial"/>
                <w:i/>
                <w:sz w:val="20"/>
                <w:szCs w:val="20"/>
                <w:lang w:val="en-GB"/>
              </w:rPr>
              <w:t>The European Union. How does it work?</w:t>
            </w:r>
            <w:r w:rsidR="009D1E5F" w:rsidRPr="000C6897">
              <w:rPr>
                <w:rFonts w:eastAsia="Arial"/>
                <w:sz w:val="20"/>
                <w:szCs w:val="20"/>
                <w:lang w:val="en-GB"/>
              </w:rPr>
              <w:t>, Oxford University</w:t>
            </w:r>
            <w:r>
              <w:rPr>
                <w:rFonts w:eastAsia="Arial"/>
                <w:sz w:val="20"/>
                <w:szCs w:val="20"/>
                <w:lang w:val="en-GB"/>
              </w:rPr>
              <w:t xml:space="preserve"> Press, Oxford </w:t>
            </w:r>
            <w:r w:rsidR="009D1E5F" w:rsidRPr="000C6897">
              <w:rPr>
                <w:rFonts w:eastAsia="Arial"/>
                <w:sz w:val="20"/>
                <w:szCs w:val="20"/>
                <w:lang w:val="en-GB"/>
              </w:rPr>
              <w:t>2012</w:t>
            </w:r>
          </w:p>
        </w:tc>
      </w:tr>
      <w:tr w:rsidR="0080734C" w:rsidRPr="00101C70" w:rsidTr="00180F85">
        <w:trPr>
          <w:trHeight w:val="199"/>
        </w:trPr>
        <w:tc>
          <w:tcPr>
            <w:tcW w:w="2055" w:type="dxa"/>
            <w:vMerge/>
          </w:tcPr>
          <w:p w:rsidR="009D1E5F" w:rsidRPr="0080734C" w:rsidRDefault="009D1E5F" w:rsidP="00180F85">
            <w:pPr>
              <w:spacing w:before="60" w:after="60" w:line="240" w:lineRule="auto"/>
              <w:rPr>
                <w:b/>
                <w:bCs/>
                <w:lang w:val="en-GB"/>
              </w:rPr>
            </w:pPr>
          </w:p>
        </w:tc>
        <w:tc>
          <w:tcPr>
            <w:tcW w:w="7229" w:type="dxa"/>
          </w:tcPr>
          <w:p w:rsidR="009D1E5F" w:rsidRPr="000C6897" w:rsidRDefault="007500A3" w:rsidP="007500A3">
            <w:pPr>
              <w:numPr>
                <w:ilvl w:val="0"/>
                <w:numId w:val="2"/>
              </w:numPr>
              <w:spacing w:before="20" w:after="20" w:line="240" w:lineRule="auto"/>
              <w:ind w:left="356" w:right="74" w:hanging="282"/>
              <w:jc w:val="both"/>
              <w:rPr>
                <w:rFonts w:cs="Calibri"/>
                <w:sz w:val="20"/>
                <w:szCs w:val="20"/>
                <w:lang w:val="en-GB"/>
              </w:rPr>
            </w:pPr>
            <w:proofErr w:type="spellStart"/>
            <w:r>
              <w:rPr>
                <w:rFonts w:eastAsia="Arial"/>
                <w:sz w:val="20"/>
                <w:szCs w:val="20"/>
                <w:lang w:val="en-GB"/>
              </w:rPr>
              <w:t>Artis</w:t>
            </w:r>
            <w:proofErr w:type="spellEnd"/>
            <w:r>
              <w:rPr>
                <w:rFonts w:eastAsia="Arial"/>
                <w:sz w:val="20"/>
                <w:szCs w:val="20"/>
                <w:lang w:val="en-GB"/>
              </w:rPr>
              <w:t xml:space="preserve"> M., Nixon F., </w:t>
            </w:r>
            <w:r w:rsidR="009D1E5F" w:rsidRPr="007500A3">
              <w:rPr>
                <w:rFonts w:eastAsia="Arial"/>
                <w:i/>
                <w:sz w:val="20"/>
                <w:szCs w:val="20"/>
                <w:lang w:val="en-GB"/>
              </w:rPr>
              <w:t>Economics of the European Union</w:t>
            </w:r>
            <w:r w:rsidR="009D1E5F" w:rsidRPr="000C6897">
              <w:rPr>
                <w:rFonts w:eastAsia="Arial"/>
                <w:sz w:val="20"/>
                <w:szCs w:val="20"/>
                <w:lang w:val="en-GB"/>
              </w:rPr>
              <w:t xml:space="preserve">, Oxford University </w:t>
            </w:r>
            <w:r>
              <w:rPr>
                <w:rFonts w:eastAsia="Arial"/>
                <w:sz w:val="20"/>
                <w:szCs w:val="20"/>
                <w:lang w:val="en-GB"/>
              </w:rPr>
              <w:t xml:space="preserve">Press, Oxford </w:t>
            </w:r>
            <w:r w:rsidR="009D1E5F" w:rsidRPr="000C6897">
              <w:rPr>
                <w:rFonts w:eastAsia="Arial"/>
                <w:sz w:val="20"/>
                <w:szCs w:val="20"/>
                <w:lang w:val="en-GB"/>
              </w:rPr>
              <w:t>2007</w:t>
            </w:r>
          </w:p>
        </w:tc>
      </w:tr>
      <w:tr w:rsidR="0080734C" w:rsidRPr="0080734C" w:rsidTr="00180F85">
        <w:trPr>
          <w:trHeight w:val="302"/>
        </w:trPr>
        <w:tc>
          <w:tcPr>
            <w:tcW w:w="2055" w:type="dxa"/>
            <w:vMerge/>
          </w:tcPr>
          <w:p w:rsidR="009D1E5F" w:rsidRPr="0080734C" w:rsidRDefault="009D1E5F" w:rsidP="00180F85">
            <w:pPr>
              <w:spacing w:before="60" w:after="60" w:line="240" w:lineRule="auto"/>
              <w:rPr>
                <w:b/>
                <w:bCs/>
                <w:lang w:val="en-GB"/>
              </w:rPr>
            </w:pPr>
          </w:p>
        </w:tc>
        <w:tc>
          <w:tcPr>
            <w:tcW w:w="7229" w:type="dxa"/>
          </w:tcPr>
          <w:p w:rsidR="009D1E5F" w:rsidRPr="000C6897" w:rsidRDefault="009D1E5F" w:rsidP="000C6897">
            <w:pPr>
              <w:numPr>
                <w:ilvl w:val="0"/>
                <w:numId w:val="2"/>
              </w:numPr>
              <w:spacing w:before="20" w:after="20" w:line="240" w:lineRule="auto"/>
              <w:ind w:left="356" w:hanging="282"/>
              <w:rPr>
                <w:bCs/>
                <w:sz w:val="20"/>
                <w:szCs w:val="20"/>
                <w:lang w:val="en-GB"/>
              </w:rPr>
            </w:pPr>
            <w:r w:rsidRPr="007500A3">
              <w:rPr>
                <w:bCs/>
                <w:i/>
                <w:sz w:val="20"/>
                <w:szCs w:val="20"/>
                <w:lang w:val="en-GB"/>
              </w:rPr>
              <w:t>Europe 2020 Strategy</w:t>
            </w:r>
            <w:r w:rsidR="007500A3">
              <w:rPr>
                <w:bCs/>
                <w:sz w:val="20"/>
                <w:szCs w:val="20"/>
                <w:lang w:val="en-GB"/>
              </w:rPr>
              <w:t>,</w:t>
            </w:r>
            <w:r w:rsidRPr="000C6897">
              <w:rPr>
                <w:bCs/>
                <w:sz w:val="20"/>
                <w:szCs w:val="20"/>
                <w:lang w:val="en-GB"/>
              </w:rPr>
              <w:t xml:space="preserve"> http://ec.europa.eu/europe2020/index_en.htm</w:t>
            </w:r>
            <w:r w:rsidR="007500A3">
              <w:rPr>
                <w:bCs/>
                <w:sz w:val="20"/>
                <w:szCs w:val="20"/>
                <w:lang w:val="en-GB"/>
              </w:rPr>
              <w:t>l</w:t>
            </w:r>
          </w:p>
        </w:tc>
      </w:tr>
      <w:tr w:rsidR="0080734C" w:rsidRPr="00101C70" w:rsidTr="00180F85">
        <w:trPr>
          <w:trHeight w:val="123"/>
        </w:trPr>
        <w:tc>
          <w:tcPr>
            <w:tcW w:w="2055" w:type="dxa"/>
            <w:vMerge/>
          </w:tcPr>
          <w:p w:rsidR="009D1E5F" w:rsidRPr="0080734C" w:rsidRDefault="009D1E5F" w:rsidP="00180F85">
            <w:pPr>
              <w:spacing w:before="60" w:after="60" w:line="240" w:lineRule="auto"/>
              <w:rPr>
                <w:b/>
                <w:bCs/>
                <w:lang w:val="en-GB"/>
              </w:rPr>
            </w:pPr>
          </w:p>
        </w:tc>
        <w:tc>
          <w:tcPr>
            <w:tcW w:w="7229" w:type="dxa"/>
          </w:tcPr>
          <w:p w:rsidR="009D1E5F" w:rsidRPr="000C6897" w:rsidRDefault="007500A3" w:rsidP="000C6897">
            <w:pPr>
              <w:numPr>
                <w:ilvl w:val="0"/>
                <w:numId w:val="2"/>
              </w:numPr>
              <w:spacing w:before="20" w:after="20" w:line="240" w:lineRule="auto"/>
              <w:ind w:left="356" w:hanging="282"/>
              <w:rPr>
                <w:bCs/>
                <w:sz w:val="20"/>
                <w:szCs w:val="20"/>
                <w:lang w:val="en-GB"/>
              </w:rPr>
            </w:pPr>
            <w:r w:rsidRPr="007500A3">
              <w:rPr>
                <w:bCs/>
                <w:i/>
                <w:sz w:val="20"/>
                <w:szCs w:val="20"/>
                <w:lang w:val="en-GB"/>
              </w:rPr>
              <w:t>Beginners’ Guide to EU Funding</w:t>
            </w:r>
            <w:r>
              <w:rPr>
                <w:bCs/>
                <w:sz w:val="20"/>
                <w:szCs w:val="20"/>
                <w:lang w:val="en-GB"/>
              </w:rPr>
              <w:t xml:space="preserve">, </w:t>
            </w:r>
            <w:r w:rsidR="009D1E5F" w:rsidRPr="000C6897">
              <w:rPr>
                <w:bCs/>
                <w:sz w:val="20"/>
                <w:szCs w:val="20"/>
                <w:lang w:val="en-GB"/>
              </w:rPr>
              <w:t>http://ec.europa.eu/budget/library/bi</w:t>
            </w:r>
            <w:r>
              <w:rPr>
                <w:bCs/>
                <w:sz w:val="20"/>
                <w:szCs w:val="20"/>
                <w:lang w:val="en-GB"/>
              </w:rPr>
              <w:t xml:space="preserve">blio/ publications/ </w:t>
            </w:r>
            <w:r w:rsidR="009D1E5F" w:rsidRPr="000C6897">
              <w:rPr>
                <w:bCs/>
                <w:sz w:val="20"/>
                <w:szCs w:val="20"/>
                <w:lang w:val="en-GB"/>
              </w:rPr>
              <w:t>/KV3111332ENC_002web.pdf</w:t>
            </w:r>
          </w:p>
        </w:tc>
      </w:tr>
      <w:tr w:rsidR="0080734C" w:rsidRPr="00101C70" w:rsidTr="00180F85">
        <w:trPr>
          <w:trHeight w:val="87"/>
        </w:trPr>
        <w:tc>
          <w:tcPr>
            <w:tcW w:w="2055" w:type="dxa"/>
          </w:tcPr>
          <w:p w:rsidR="009D1E5F" w:rsidRPr="0080734C" w:rsidRDefault="009D1E5F" w:rsidP="00180F85">
            <w:pPr>
              <w:spacing w:before="60" w:after="60" w:line="240" w:lineRule="auto"/>
              <w:rPr>
                <w:b/>
                <w:bCs/>
                <w:lang w:val="en-GB"/>
              </w:rPr>
            </w:pPr>
            <w:r w:rsidRPr="0080734C">
              <w:rPr>
                <w:b/>
                <w:bCs/>
                <w:lang w:val="en-GB"/>
              </w:rPr>
              <w:t>Teaching tools</w:t>
            </w:r>
          </w:p>
        </w:tc>
        <w:tc>
          <w:tcPr>
            <w:tcW w:w="7229" w:type="dxa"/>
            <w:vAlign w:val="center"/>
          </w:tcPr>
          <w:p w:rsidR="009D1E5F" w:rsidRPr="0080734C" w:rsidRDefault="007500A3" w:rsidP="007500A3">
            <w:pPr>
              <w:spacing w:after="0" w:line="240" w:lineRule="auto"/>
              <w:ind w:left="73" w:right="72"/>
              <w:rPr>
                <w:rFonts w:cs="Calibri"/>
                <w:lang w:val="en-GB"/>
              </w:rPr>
            </w:pPr>
            <w:r w:rsidRPr="007500A3">
              <w:rPr>
                <w:rFonts w:cs="Calibri"/>
                <w:lang w:val="en-GB"/>
              </w:rPr>
              <w:t>l</w:t>
            </w:r>
            <w:r>
              <w:rPr>
                <w:rFonts w:cs="Calibri"/>
                <w:lang w:val="en-GB"/>
              </w:rPr>
              <w:t xml:space="preserve">ecture, </w:t>
            </w:r>
            <w:r w:rsidR="009D1E5F" w:rsidRPr="0080734C">
              <w:rPr>
                <w:rFonts w:cs="Calibri"/>
                <w:lang w:val="en-GB"/>
              </w:rPr>
              <w:t>case studies</w:t>
            </w:r>
            <w:r>
              <w:rPr>
                <w:rFonts w:cs="Calibri"/>
                <w:lang w:val="en-GB"/>
              </w:rPr>
              <w:t xml:space="preserve">, class discussions, team </w:t>
            </w:r>
            <w:r w:rsidR="009D1E5F" w:rsidRPr="0080734C">
              <w:rPr>
                <w:rFonts w:cs="Calibri"/>
                <w:lang w:val="en-GB"/>
              </w:rPr>
              <w:t>projects</w:t>
            </w:r>
            <w:r>
              <w:rPr>
                <w:rFonts w:cs="Calibri"/>
                <w:lang w:val="en-GB"/>
              </w:rPr>
              <w:t xml:space="preserve"> and</w:t>
            </w:r>
            <w:r w:rsidR="009D1E5F" w:rsidRPr="0080734C">
              <w:rPr>
                <w:rFonts w:cs="Calibri"/>
                <w:lang w:val="en-GB"/>
              </w:rPr>
              <w:t xml:space="preserve"> presentations</w:t>
            </w:r>
          </w:p>
        </w:tc>
      </w:tr>
      <w:tr w:rsidR="0080734C" w:rsidRPr="00101C70" w:rsidTr="00180F85">
        <w:tc>
          <w:tcPr>
            <w:tcW w:w="2055" w:type="dxa"/>
          </w:tcPr>
          <w:p w:rsidR="009D1E5F" w:rsidRPr="0080734C" w:rsidRDefault="009D1E5F" w:rsidP="00180F85">
            <w:pPr>
              <w:spacing w:before="60" w:after="60" w:line="240" w:lineRule="auto"/>
              <w:rPr>
                <w:b/>
                <w:bCs/>
                <w:lang w:val="en-GB"/>
              </w:rPr>
            </w:pPr>
            <w:r w:rsidRPr="0080734C">
              <w:rPr>
                <w:b/>
                <w:bCs/>
                <w:lang w:val="en-GB"/>
              </w:rPr>
              <w:t>Form of examination</w:t>
            </w:r>
          </w:p>
        </w:tc>
        <w:tc>
          <w:tcPr>
            <w:tcW w:w="7229" w:type="dxa"/>
            <w:vAlign w:val="center"/>
          </w:tcPr>
          <w:p w:rsidR="009D1E5F" w:rsidRPr="0080734C" w:rsidRDefault="007500A3" w:rsidP="007500A3">
            <w:pPr>
              <w:spacing w:after="0" w:line="240" w:lineRule="auto"/>
              <w:ind w:left="72" w:right="72"/>
              <w:rPr>
                <w:lang w:val="en-GB"/>
              </w:rPr>
            </w:pPr>
            <w:r>
              <w:rPr>
                <w:lang w:val="en-GB"/>
              </w:rPr>
              <w:t xml:space="preserve">team project, </w:t>
            </w:r>
            <w:r w:rsidR="009D1E5F" w:rsidRPr="0080734C">
              <w:rPr>
                <w:lang w:val="en-GB"/>
              </w:rPr>
              <w:t>individu</w:t>
            </w:r>
            <w:r>
              <w:rPr>
                <w:lang w:val="en-GB"/>
              </w:rPr>
              <w:t>al assignment, written test</w:t>
            </w:r>
          </w:p>
        </w:tc>
      </w:tr>
    </w:tbl>
    <w:p w:rsidR="009D1E5F" w:rsidRPr="0080734C" w:rsidRDefault="009D1E5F" w:rsidP="009D1E5F">
      <w:pPr>
        <w:spacing w:after="0" w:line="240" w:lineRule="auto"/>
        <w:rPr>
          <w:sz w:val="16"/>
          <w:szCs w:val="16"/>
          <w:lang w:val="en-GB"/>
        </w:rPr>
      </w:pPr>
    </w:p>
    <w:p w:rsidR="00F07F5E" w:rsidRPr="0080734C" w:rsidRDefault="00F07F5E">
      <w:pPr>
        <w:rPr>
          <w:lang w:val="en-GB"/>
        </w:rPr>
      </w:pPr>
    </w:p>
    <w:sectPr w:rsidR="00F07F5E" w:rsidRPr="0080734C" w:rsidSect="00B44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8E6"/>
    <w:multiLevelType w:val="hybridMultilevel"/>
    <w:tmpl w:val="B8F8A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D066F"/>
    <w:multiLevelType w:val="hybridMultilevel"/>
    <w:tmpl w:val="1C00853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 w15:restartNumberingAfterBreak="0">
    <w:nsid w:val="0AB740F4"/>
    <w:multiLevelType w:val="hybridMultilevel"/>
    <w:tmpl w:val="389883F8"/>
    <w:lvl w:ilvl="0" w:tplc="B2A2641C">
      <w:start w:val="3"/>
      <w:numFmt w:val="bullet"/>
      <w:lvlText w:val="-"/>
      <w:lvlJc w:val="left"/>
      <w:pPr>
        <w:ind w:left="788" w:hanging="360"/>
      </w:pPr>
      <w:rPr>
        <w:rFonts w:ascii="Calibri" w:eastAsia="Times New Roman" w:hAnsi="Calibri" w:cs="Aria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105A7D55"/>
    <w:multiLevelType w:val="hybridMultilevel"/>
    <w:tmpl w:val="0BF887EC"/>
    <w:lvl w:ilvl="0" w:tplc="B2A2641C">
      <w:start w:val="3"/>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E24AF"/>
    <w:multiLevelType w:val="hybridMultilevel"/>
    <w:tmpl w:val="0C8CC88C"/>
    <w:lvl w:ilvl="0" w:tplc="193A0F6A">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BA43E7"/>
    <w:multiLevelType w:val="hybridMultilevel"/>
    <w:tmpl w:val="8D986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D1AF5"/>
    <w:multiLevelType w:val="hybridMultilevel"/>
    <w:tmpl w:val="6574A92C"/>
    <w:lvl w:ilvl="0" w:tplc="3DA2EFCE">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 w15:restartNumberingAfterBreak="0">
    <w:nsid w:val="1FA112CC"/>
    <w:multiLevelType w:val="hybridMultilevel"/>
    <w:tmpl w:val="9E20DC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9B4D87"/>
    <w:multiLevelType w:val="hybridMultilevel"/>
    <w:tmpl w:val="0428CB24"/>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15:restartNumberingAfterBreak="0">
    <w:nsid w:val="3B310840"/>
    <w:multiLevelType w:val="hybridMultilevel"/>
    <w:tmpl w:val="646E6FC4"/>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10" w15:restartNumberingAfterBreak="0">
    <w:nsid w:val="461D166F"/>
    <w:multiLevelType w:val="hybridMultilevel"/>
    <w:tmpl w:val="9586A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02089"/>
    <w:multiLevelType w:val="hybridMultilevel"/>
    <w:tmpl w:val="F8F8D0E2"/>
    <w:lvl w:ilvl="0" w:tplc="B2A2641C">
      <w:start w:val="3"/>
      <w:numFmt w:val="bullet"/>
      <w:lvlText w:val="-"/>
      <w:lvlJc w:val="left"/>
      <w:pPr>
        <w:ind w:left="428" w:hanging="360"/>
      </w:pPr>
      <w:rPr>
        <w:rFonts w:ascii="Calibri" w:eastAsia="Times New Roman" w:hAnsi="Calibri" w:cs="Aria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2" w15:restartNumberingAfterBreak="0">
    <w:nsid w:val="59E31157"/>
    <w:multiLevelType w:val="hybridMultilevel"/>
    <w:tmpl w:val="62DAA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E520DF"/>
    <w:multiLevelType w:val="hybridMultilevel"/>
    <w:tmpl w:val="685E4308"/>
    <w:lvl w:ilvl="0" w:tplc="B2A2641C">
      <w:start w:val="3"/>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3F0538"/>
    <w:multiLevelType w:val="hybridMultilevel"/>
    <w:tmpl w:val="D730CDE2"/>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5" w15:restartNumberingAfterBreak="0">
    <w:nsid w:val="70AA78DD"/>
    <w:multiLevelType w:val="hybridMultilevel"/>
    <w:tmpl w:val="29482FC8"/>
    <w:lvl w:ilvl="0" w:tplc="B2A2641C">
      <w:start w:val="3"/>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336FF9"/>
    <w:multiLevelType w:val="hybridMultilevel"/>
    <w:tmpl w:val="E294C9E6"/>
    <w:lvl w:ilvl="0" w:tplc="4C30548C">
      <w:numFmt w:val="bullet"/>
      <w:lvlText w:val="-"/>
      <w:lvlJc w:val="left"/>
      <w:pPr>
        <w:ind w:left="717" w:hanging="360"/>
      </w:pPr>
      <w:rPr>
        <w:rFonts w:ascii="Calibri" w:eastAsia="Arial" w:hAnsi="Calibri"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4"/>
  </w:num>
  <w:num w:numId="2">
    <w:abstractNumId w:val="8"/>
  </w:num>
  <w:num w:numId="3">
    <w:abstractNumId w:val="12"/>
  </w:num>
  <w:num w:numId="4">
    <w:abstractNumId w:val="11"/>
  </w:num>
  <w:num w:numId="5">
    <w:abstractNumId w:val="2"/>
  </w:num>
  <w:num w:numId="6">
    <w:abstractNumId w:val="10"/>
  </w:num>
  <w:num w:numId="7">
    <w:abstractNumId w:val="6"/>
  </w:num>
  <w:num w:numId="8">
    <w:abstractNumId w:val="16"/>
  </w:num>
  <w:num w:numId="9">
    <w:abstractNumId w:val="7"/>
  </w:num>
  <w:num w:numId="10">
    <w:abstractNumId w:val="3"/>
  </w:num>
  <w:num w:numId="11">
    <w:abstractNumId w:val="13"/>
  </w:num>
  <w:num w:numId="12">
    <w:abstractNumId w:val="15"/>
  </w:num>
  <w:num w:numId="13">
    <w:abstractNumId w:val="0"/>
  </w:num>
  <w:num w:numId="14">
    <w:abstractNumId w:val="9"/>
  </w:num>
  <w:num w:numId="15">
    <w:abstractNumId w:val="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5F"/>
    <w:rsid w:val="000C6897"/>
    <w:rsid w:val="00101C70"/>
    <w:rsid w:val="007500A3"/>
    <w:rsid w:val="0080734C"/>
    <w:rsid w:val="009D1E5F"/>
    <w:rsid w:val="00A45A62"/>
    <w:rsid w:val="00E20CE3"/>
    <w:rsid w:val="00EA5CEF"/>
    <w:rsid w:val="00F0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2C3F"/>
  <w15:docId w15:val="{3071B21E-71F8-4C87-8C3F-FE419250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E5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E5F"/>
    <w:pPr>
      <w:ind w:left="720"/>
      <w:contextualSpacing/>
    </w:pPr>
  </w:style>
  <w:style w:type="character" w:styleId="Hipercze">
    <w:name w:val="Hyperlink"/>
    <w:basedOn w:val="Domylnaczcionkaakapitu"/>
    <w:uiPriority w:val="99"/>
    <w:unhideWhenUsed/>
    <w:rsid w:val="00750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5629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Jaroslaw Wozniczka</cp:lastModifiedBy>
  <cp:revision>6</cp:revision>
  <dcterms:created xsi:type="dcterms:W3CDTF">2016-03-01T12:46:00Z</dcterms:created>
  <dcterms:modified xsi:type="dcterms:W3CDTF">2016-06-28T09:43:00Z</dcterms:modified>
</cp:coreProperties>
</file>