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00" w:themeColor="text1"/>
  <w:body>
    <w:p w:rsidR="003F3DC1" w:rsidRDefault="003F3DC1">
      <w:pPr>
        <w:rPr>
          <w:rFonts w:cstheme="minorHAnsi"/>
          <w:color w:val="FFFF0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1915439"/>
            <wp:effectExtent l="0" t="0" r="0" b="8890"/>
            <wp:docPr id="4" name="Obraz 4" descr="prom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m_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Centrum Obsługi Badań Naukowych zaprasza doktorantów i pracowników akademickich do udziału w Programie PROM - Międzynarodowej wymianie dla doktorantów i kadry akademickiej finansowanej przez Narodową Agencję Wymiany Akademickiej.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Finansowane będą następujące rodzaje wyjazdów zagranicznych: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30-dniowe staże naukowe – 8 doktorantów, 5 uczestników programu Młodzi Naukowcy, 5 pracowników naukowych;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 6-dniowe konferencje (tylko aktywny udział; długość wyjazdu jest uzależniona od długości trwania konferencji – liczba dni konferencji plus maksymalnie 2 dni na dojazd i powrót) – 10 doktorantów;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10-dniowe wizyty na badania – 3 doktorantów;</w:t>
      </w:r>
    </w:p>
    <w:p w:rsidR="00EA190D" w:rsidRPr="00EA190D" w:rsidRDefault="00EA190D" w:rsidP="003F3DC1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•  14-dniowe wizyty na badania – 1 uczestnik Programu Młodzi Naukowcy.</w:t>
      </w:r>
    </w:p>
    <w:p w:rsidR="00EA190D" w:rsidRPr="00EA190D" w:rsidRDefault="00EA190D" w:rsidP="003F3DC1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Aplikacja o stypendium</w:t>
      </w:r>
    </w:p>
    <w:p w:rsidR="00EA190D" w:rsidRPr="00EA190D" w:rsidRDefault="00EA190D" w:rsidP="003F3DC1">
      <w:pPr>
        <w:tabs>
          <w:tab w:val="left" w:pos="1905"/>
        </w:tabs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Osoby, które chcą ubiegać się o stypendium są zobowiązane do </w:t>
      </w:r>
      <w:r w:rsidRPr="00EA190D"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uzupełnienia formularza w wersji elektronicznej</w:t>
      </w:r>
    </w:p>
    <w:p w:rsidR="00EA190D" w:rsidRPr="00A9680B" w:rsidRDefault="00A9680B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7" w:history="1">
        <w:r w:rsidR="00EA190D"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30 dniowe sta</w:t>
        </w:r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że zagraniczne</w:t>
        </w:r>
      </w:hyperlink>
      <w:r w:rsidR="00EA190D"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 xml:space="preserve"> </w:t>
      </w:r>
    </w:p>
    <w:p w:rsidR="00EA190D" w:rsidRPr="00A9680B" w:rsidRDefault="00A9680B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8" w:history="1">
        <w:r w:rsidRPr="00A9680B">
          <w:rPr>
            <w:rStyle w:val="Hipercze"/>
            <w:color w:val="FFFF00"/>
            <w:sz w:val="32"/>
            <w:szCs w:val="32"/>
            <w:highlight w:val="black"/>
          </w:rPr>
          <w:t>14 dniowe badania</w:t>
        </w:r>
      </w:hyperlink>
    </w:p>
    <w:p w:rsidR="00EA190D" w:rsidRPr="00A9680B" w:rsidRDefault="00A9680B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9" w:history="1">
        <w:r w:rsidRPr="00A9680B">
          <w:rPr>
            <w:rStyle w:val="Hipercze"/>
            <w:color w:val="FFFF00"/>
            <w:sz w:val="32"/>
            <w:szCs w:val="32"/>
            <w:highlight w:val="black"/>
          </w:rPr>
          <w:t>10-dniowe badania</w:t>
        </w:r>
      </w:hyperlink>
      <w:r w:rsidRPr="00A9680B">
        <w:rPr>
          <w:color w:val="FFFF00"/>
          <w:sz w:val="32"/>
          <w:szCs w:val="32"/>
          <w:highlight w:val="black"/>
        </w:rPr>
        <w:t xml:space="preserve"> </w:t>
      </w:r>
    </w:p>
    <w:p w:rsidR="00EA190D" w:rsidRPr="00A9680B" w:rsidRDefault="00A9680B" w:rsidP="00EA190D">
      <w:pPr>
        <w:pStyle w:val="Akapitzlist"/>
        <w:numPr>
          <w:ilvl w:val="0"/>
          <w:numId w:val="1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0" w:history="1">
        <w:r w:rsidR="00EA190D" w:rsidRPr="00A9680B">
          <w:rPr>
            <w:rStyle w:val="Hipercze"/>
            <w:color w:val="FFFF00"/>
            <w:sz w:val="32"/>
            <w:szCs w:val="32"/>
            <w:highlight w:val="black"/>
          </w:rPr>
          <w:t>6-dniowe konferencje</w:t>
        </w:r>
      </w:hyperlink>
    </w:p>
    <w:p w:rsidR="00EA190D" w:rsidRPr="00EA190D" w:rsidRDefault="00EA190D" w:rsidP="00EA190D">
      <w:pPr>
        <w:tabs>
          <w:tab w:val="left" w:pos="1905"/>
        </w:tabs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Termin nadsyłania zgłoszeń upływa w poniedziałek </w:t>
      </w:r>
      <w:r w:rsidRPr="00EA190D">
        <w:rPr>
          <w:rStyle w:val="Pogrubienie"/>
          <w:rFonts w:ascii="inherit" w:hAnsi="inherit"/>
          <w:color w:val="FFFF00"/>
          <w:sz w:val="32"/>
          <w:szCs w:val="32"/>
          <w:highlight w:val="black"/>
          <w:shd w:val="clear" w:color="auto" w:fill="FFFFFF"/>
        </w:rPr>
        <w:t>14.10.2019 (do godziny 23:59).</w:t>
      </w:r>
    </w:p>
    <w:p w:rsidR="00EA190D" w:rsidRP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Wszelkich merytorycznych wyjaśnień udziela: Joanna Marcinkowska, tel. 71 36 80 988, e-mail: </w:t>
      </w:r>
      <w:hyperlink r:id="rId11" w:history="1">
        <w:r w:rsidRPr="00EA190D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cobn@ue.wroc.pl,</w:t>
        </w:r>
      </w:hyperlink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 </w:t>
      </w:r>
      <w:hyperlink r:id="rId12" w:history="1">
        <w:r w:rsidRPr="00EA190D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joanna.marcinkowska@ue.wroc.pl</w:t>
        </w:r>
      </w:hyperlink>
    </w:p>
    <w:p w:rsidR="00EA190D" w:rsidRP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p w:rsidR="00EA190D" w:rsidRPr="00EA190D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Stypendium pokrywa następujące rodzaje kosztów: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podróży, ubezpieczenia zdrowotnego, ubezpieczenia od odpowiedzialności cywilnej, ubezpieczenia wypadkowego, opłat wizowych i kosztów ustanowienia miejsca zamieszkania (w zależności od odległości między miejscem zamieszkania uczestnika a Uniwersytetem Ekonomicznym we Wrocławiu). Zgodnie z Tabelą 1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inherit" w:hAnsi="inherit"/>
          <w:b/>
          <w:bCs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utrzymania, które można wydać na wyżywienie lub zakwaterowanie (w zależności od liczby dni pobytu). Zgodnie z Tabelą 2.</w:t>
      </w:r>
    </w:p>
    <w:p w:rsidR="00EA190D" w:rsidRPr="00EA190D" w:rsidRDefault="00EA190D" w:rsidP="00EA190D">
      <w:pPr>
        <w:pStyle w:val="Akapitzlist"/>
        <w:numPr>
          <w:ilvl w:val="0"/>
          <w:numId w:val="2"/>
        </w:numPr>
        <w:tabs>
          <w:tab w:val="left" w:pos="1905"/>
        </w:tabs>
        <w:rPr>
          <w:rFonts w:ascii="inherit" w:hAnsi="inherit"/>
          <w:b/>
          <w:bCs/>
          <w:color w:val="FFFF00"/>
          <w:sz w:val="32"/>
          <w:szCs w:val="32"/>
          <w:highlight w:val="black"/>
          <w:shd w:val="clear" w:color="auto" w:fill="FFFFFF"/>
        </w:rPr>
      </w:pPr>
      <w:r w:rsidRPr="00EA190D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Koszty opłaty udziału w konferencji. </w:t>
      </w:r>
    </w:p>
    <w:p w:rsidR="00EA190D" w:rsidRPr="000B41F8" w:rsidRDefault="00EA190D" w:rsidP="00EA190D">
      <w:pPr>
        <w:tabs>
          <w:tab w:val="left" w:pos="1905"/>
        </w:tabs>
        <w:rPr>
          <w:rStyle w:val="Pogrubienie"/>
          <w:rFonts w:ascii="inherit" w:hAnsi="inherit"/>
          <w:color w:val="222222"/>
          <w:sz w:val="32"/>
          <w:szCs w:val="32"/>
          <w:shd w:val="clear" w:color="auto" w:fill="FFFFFF"/>
        </w:rPr>
      </w:pPr>
    </w:p>
    <w:p w:rsidR="00EA190D" w:rsidRPr="000B41F8" w:rsidRDefault="00EA190D" w:rsidP="00EA190D">
      <w:pPr>
        <w:tabs>
          <w:tab w:val="left" w:pos="1905"/>
        </w:tabs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Tabela 1 - Koszty podróży, ubezpieczenie zdrowotne, ubezpieczenie odpowiedzialności cywilnej, ubezpieczenie wypadkowe, opłaty wizowe i koszty ustanowienia miejsca zamieszkania</w:t>
      </w:r>
    </w:p>
    <w:tbl>
      <w:tblPr>
        <w:tblStyle w:val="Tabela-Siatka"/>
        <w:tblW w:w="9092" w:type="dxa"/>
        <w:tblLook w:val="04A0" w:firstRow="1" w:lastRow="0" w:firstColumn="1" w:lastColumn="0" w:noHBand="0" w:noVBand="1"/>
      </w:tblPr>
      <w:tblGrid>
        <w:gridCol w:w="4546"/>
        <w:gridCol w:w="4546"/>
      </w:tblGrid>
      <w:tr w:rsidR="000B41F8" w:rsidRPr="00525122" w:rsidTr="00BB7841">
        <w:trPr>
          <w:trHeight w:val="773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pStyle w:val="NormalnyWeb"/>
              <w:spacing w:before="0" w:beforeAutospacing="0" w:after="0" w:afterAutospacing="0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  <w:r w:rsidRPr="000B41F8"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  <w:t>Odległość w linii prostej między miejscem zamieszkania uczestnika a miejscem pobytu (w km)</w:t>
            </w:r>
          </w:p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Kwota dofinansowania</w:t>
            </w:r>
          </w:p>
        </w:tc>
      </w:tr>
      <w:tr w:rsidR="000B41F8" w:rsidRPr="00525122" w:rsidTr="00BB7841">
        <w:trPr>
          <w:trHeight w:val="639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mniej niż 500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1,000.00</w:t>
            </w:r>
          </w:p>
        </w:tc>
      </w:tr>
      <w:tr w:rsidR="000B41F8" w:rsidRPr="00525122" w:rsidTr="00BB7841">
        <w:trPr>
          <w:trHeight w:val="422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lastRenderedPageBreak/>
              <w:t>500 - 999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  <w:t>PLN 2,000.00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1,000 – 2,999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3,000.00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3,000 – 6,000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4,000.00</w:t>
            </w:r>
          </w:p>
        </w:tc>
      </w:tr>
      <w:tr w:rsidR="000B41F8" w:rsidRPr="00525122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Więcej niż 6,000</w:t>
            </w:r>
          </w:p>
        </w:tc>
        <w:tc>
          <w:tcPr>
            <w:tcW w:w="4546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5,000.00</w:t>
            </w:r>
          </w:p>
        </w:tc>
      </w:tr>
      <w:tr w:rsidR="000B41F8" w:rsidTr="00BB7841">
        <w:trPr>
          <w:trHeight w:val="436"/>
        </w:trPr>
        <w:tc>
          <w:tcPr>
            <w:tcW w:w="4546" w:type="dxa"/>
            <w:tcBorders>
              <w:top w:val="single" w:sz="4" w:space="0" w:color="FFC000" w:themeColor="accent4"/>
            </w:tcBorders>
          </w:tcPr>
          <w:p w:rsidR="000B41F8" w:rsidRPr="00525122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546" w:type="dxa"/>
            <w:tcBorders>
              <w:top w:val="single" w:sz="4" w:space="0" w:color="FFC000" w:themeColor="accent4"/>
            </w:tcBorders>
          </w:tcPr>
          <w:p w:rsidR="000B41F8" w:rsidRDefault="000B41F8" w:rsidP="00BB7841">
            <w:pPr>
              <w:tabs>
                <w:tab w:val="left" w:pos="1905"/>
              </w:tabs>
              <w:rPr>
                <w:rFonts w:ascii="Roboto" w:hAnsi="Roboto"/>
                <w:color w:val="FFFF00"/>
                <w:sz w:val="32"/>
                <w:szCs w:val="32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Style w:val="Pogrubieni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Tabela 2 - Koszty utrzymania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022"/>
        <w:gridCol w:w="3021"/>
        <w:gridCol w:w="3019"/>
      </w:tblGrid>
      <w:tr w:rsidR="000B41F8" w:rsidRPr="000B41F8" w:rsidTr="000B41F8">
        <w:trPr>
          <w:trHeight w:val="773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pStyle w:val="NormalnyWeb"/>
              <w:spacing w:before="0" w:beforeAutospacing="0" w:after="0" w:afterAutospacing="0"/>
              <w:jc w:val="center"/>
              <w:rPr>
                <w:rFonts w:ascii="inherit" w:hAnsi="inherit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</w:p>
          <w:p w:rsidR="000B41F8" w:rsidRPr="000B41F8" w:rsidRDefault="000B41F8" w:rsidP="000B41F8">
            <w:pPr>
              <w:jc w:val="center"/>
              <w:rPr>
                <w:color w:val="FFFF00"/>
                <w:sz w:val="32"/>
                <w:szCs w:val="32"/>
                <w:highlight w:val="black"/>
                <w:lang w:eastAsia="pl-PL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Dni pobytu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 przypadku wyjazdu do krajów OECD, a także miast z krajów spoza OECD znajdujących się w pierwszej 50ce raportu MERCER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W przypadku pozostałych krajów</w:t>
            </w:r>
          </w:p>
        </w:tc>
      </w:tr>
      <w:tr w:rsidR="000B41F8" w:rsidRPr="000B41F8" w:rsidTr="000B41F8">
        <w:trPr>
          <w:trHeight w:val="639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6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4 420,00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3 260,00</w:t>
            </w:r>
          </w:p>
        </w:tc>
      </w:tr>
      <w:tr w:rsidR="000B41F8" w:rsidRPr="000B41F8" w:rsidTr="000B41F8">
        <w:trPr>
          <w:trHeight w:val="422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10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6 100,00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</w:rPr>
            </w:pPr>
          </w:p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4 300,00</w:t>
            </w:r>
          </w:p>
        </w:tc>
      </w:tr>
      <w:tr w:rsidR="000B41F8" w:rsidRPr="000B41F8" w:rsidTr="000B41F8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14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7 780,00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5 340,00</w:t>
            </w:r>
          </w:p>
        </w:tc>
      </w:tr>
      <w:tr w:rsidR="000B41F8" w:rsidRPr="000B41F8" w:rsidTr="000B41F8">
        <w:trPr>
          <w:trHeight w:val="436"/>
        </w:trPr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30</w:t>
            </w:r>
          </w:p>
        </w:tc>
        <w:tc>
          <w:tcPr>
            <w:tcW w:w="1667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12 000,00</w:t>
            </w:r>
          </w:p>
        </w:tc>
        <w:tc>
          <w:tcPr>
            <w:tcW w:w="1666" w:type="pct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0B41F8" w:rsidRPr="000B41F8" w:rsidRDefault="000B41F8" w:rsidP="000B41F8">
            <w:pPr>
              <w:tabs>
                <w:tab w:val="left" w:pos="1905"/>
              </w:tabs>
              <w:jc w:val="center"/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  <w:lang w:val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B41F8">
              <w:rPr>
                <w:rFonts w:ascii="Roboto" w:hAnsi="Roboto"/>
                <w:color w:val="FFFF00"/>
                <w:sz w:val="32"/>
                <w:szCs w:val="32"/>
                <w:highlight w:val="black"/>
                <w:shd w:val="clear" w:color="auto" w:fill="FFFFFF"/>
              </w:rPr>
              <w:t>PLN 8 000,00</w:t>
            </w:r>
          </w:p>
        </w:tc>
      </w:tr>
    </w:tbl>
    <w:p w:rsidR="00EA190D" w:rsidRDefault="00EA190D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</w:p>
    <w:p w:rsid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Dokumenty do pobrania:</w:t>
      </w:r>
    </w:p>
    <w:bookmarkStart w:id="0" w:name="_GoBack"/>
    <w:p w:rsidR="000B41F8" w:rsidRPr="00A9680B" w:rsidRDefault="00A9680B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A9680B">
        <w:rPr>
          <w:color w:val="FFFF00"/>
          <w:sz w:val="32"/>
          <w:szCs w:val="32"/>
          <w:highlight w:val="black"/>
        </w:rPr>
        <w:fldChar w:fldCharType="begin"/>
      </w:r>
      <w:r w:rsidRPr="00A9680B">
        <w:rPr>
          <w:color w:val="FFFF00"/>
          <w:sz w:val="32"/>
          <w:szCs w:val="32"/>
          <w:highlight w:val="black"/>
        </w:rPr>
        <w:instrText xml:space="preserve"> HYPERLINK "http://www.ue.wroc.pl/p/dzial_nauki/regulamin_stypendium_pl.pdf" \o "regulamin_stypendium_pl" </w:instrText>
      </w:r>
      <w:r w:rsidRPr="00A9680B">
        <w:rPr>
          <w:color w:val="FFFF00"/>
          <w:sz w:val="32"/>
          <w:szCs w:val="32"/>
          <w:highlight w:val="black"/>
        </w:rPr>
        <w:fldChar w:fldCharType="separate"/>
      </w:r>
      <w:r w:rsidRPr="00A9680B">
        <w:rPr>
          <w:rStyle w:val="Hipercz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Regulamin przyznawania stypendium</w:t>
      </w:r>
      <w:r w:rsidRPr="00A9680B">
        <w:rPr>
          <w:color w:val="FFFF00"/>
          <w:sz w:val="32"/>
          <w:szCs w:val="32"/>
          <w:highlight w:val="black"/>
        </w:rPr>
        <w:fldChar w:fldCharType="end"/>
      </w:r>
    </w:p>
    <w:bookmarkEnd w:id="0"/>
    <w:p w:rsidR="00A9680B" w:rsidRPr="00A9680B" w:rsidRDefault="00A9680B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fldChar w:fldCharType="begin"/>
      </w:r>
      <w:r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instrText xml:space="preserve"> HYPERLINK "http://www.ue.wroc.pl/p/dzial_nauki/zalacznik_1_kryteria_naboru_doktorantow.pdf" </w:instrText>
      </w:r>
      <w:r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r>
      <w:r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fldChar w:fldCharType="separate"/>
      </w:r>
      <w:r w:rsidRPr="00A9680B">
        <w:rPr>
          <w:rStyle w:val="Hipercze"/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t>Załącznik 1. Kryteria naboru Uczestników – doktoranci</w:t>
      </w:r>
      <w:r w:rsidRPr="00A9680B"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  <w:fldChar w:fldCharType="end"/>
      </w:r>
    </w:p>
    <w:p w:rsidR="00A9680B" w:rsidRPr="00A9680B" w:rsidRDefault="00A9680B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3" w:tooltip="zalacznik_2_kryteria_naboru_pracownikow_naukowych_1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2. Kryteria naboru Uczestników – pracownicy naukowi</w:t>
        </w:r>
      </w:hyperlink>
    </w:p>
    <w:p w:rsidR="00A9680B" w:rsidRPr="00A9680B" w:rsidRDefault="00A9680B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hyperlink r:id="rId14" w:tooltip="zk_4._zalacznik_3_stawki_ryczaltowe_czarno-zolte_1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3. Stawki ryczałtowe stypendium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5" w:tooltip="zalacznik_4_formularz_dla_doktorantow__6_dniowa_konferencja_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4. Formularz zgłoszeniowy – (6-dniowe konferencje)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  <w:highlight w:val="black"/>
        </w:rPr>
      </w:pPr>
      <w:hyperlink r:id="rId16" w:tooltip="zalacznik_5_formularz_dla_doktorantow_i_pracownikow_naukowych_ue__10_dniowe_badania_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5. Formularz zgłoszeniowy – (10-dniowe badania)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7" w:tooltip="zalacznik_6_formularz_dla_doktorantow_i_pracownikow_naukowych_uew__30_dniowy_staz_naukowy_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6. Formularz zgłoszeniowy – (30-dniowe staże naukowe)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8" w:tooltip="zalacznik_7_formularz_dla_doktorantow_i_uczestnikow_programu_mlodzi_naukowcy__14_dniowe_badania_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7. Formularz zgłoszeniowy – (14-dniowe badania)</w:t>
        </w:r>
      </w:hyperlink>
    </w:p>
    <w:p w:rsid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  <w:hyperlink r:id="rId19" w:tooltip="zalacznik_8_wzor_umowy_z_uczestnikiem_projektu" w:history="1">
        <w:r w:rsidRPr="00A9680B">
          <w:rPr>
            <w:rStyle w:val="Hipercze"/>
            <w:rFonts w:ascii="Roboto" w:hAnsi="Roboto"/>
            <w:color w:val="FFFF00"/>
            <w:sz w:val="32"/>
            <w:szCs w:val="32"/>
            <w:highlight w:val="black"/>
            <w:shd w:val="clear" w:color="auto" w:fill="FFFFFF"/>
          </w:rPr>
          <w:t>Załącznik 8. Wzór umowy z Uczestnikiem projektu</w:t>
        </w:r>
      </w:hyperlink>
    </w:p>
    <w:p w:rsidR="00A9680B" w:rsidRPr="00A9680B" w:rsidRDefault="00A9680B" w:rsidP="00EA190D">
      <w:pPr>
        <w:tabs>
          <w:tab w:val="left" w:pos="1905"/>
        </w:tabs>
        <w:rPr>
          <w:color w:val="FFFF00"/>
          <w:sz w:val="32"/>
          <w:szCs w:val="32"/>
        </w:rPr>
      </w:pPr>
    </w:p>
    <w:p w:rsidR="000B41F8" w:rsidRPr="000B41F8" w:rsidRDefault="000B41F8" w:rsidP="00EA190D">
      <w:pPr>
        <w:tabs>
          <w:tab w:val="left" w:pos="1905"/>
        </w:tabs>
        <w:rPr>
          <w:rFonts w:ascii="Roboto" w:hAnsi="Roboto"/>
          <w:color w:val="FFFF00"/>
          <w:sz w:val="32"/>
          <w:szCs w:val="32"/>
          <w:highlight w:val="black"/>
          <w:shd w:val="clear" w:color="auto" w:fill="FFFFFF"/>
        </w:rPr>
      </w:pPr>
      <w:r w:rsidRPr="000B41F8">
        <w:rPr>
          <w:rFonts w:ascii="Tahoma" w:hAnsi="Tahoma" w:cs="Tahoma"/>
          <w:color w:val="FFFF00"/>
          <w:sz w:val="32"/>
          <w:szCs w:val="32"/>
          <w:highlight w:val="black"/>
          <w:shd w:val="clear" w:color="auto" w:fill="FFFFFF"/>
        </w:rPr>
        <w:t>Projekt jest finansowany z funduszy Unii Europejskiej, w tym Europejskiego Funduszu Społecznego.</w:t>
      </w:r>
    </w:p>
    <w:p w:rsidR="00120A95" w:rsidRPr="00A9680B" w:rsidRDefault="00120A95">
      <w:pPr>
        <w:tabs>
          <w:tab w:val="left" w:pos="1905"/>
        </w:tabs>
        <w:rPr>
          <w:rFonts w:cstheme="minorHAnsi"/>
          <w:b/>
          <w:color w:val="FFFF00"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>
            <wp:extent cx="5760720" cy="684086"/>
            <wp:effectExtent l="0" t="0" r="0" b="1905"/>
            <wp:docPr id="5" name="Obraz 5" descr="_resized_800x95_power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_resized_800x95_power_e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A95" w:rsidRPr="00A96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AFF" w:usb1="5000217F" w:usb2="0000002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35D3A"/>
    <w:multiLevelType w:val="hybridMultilevel"/>
    <w:tmpl w:val="7562B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E0B0D"/>
    <w:multiLevelType w:val="hybridMultilevel"/>
    <w:tmpl w:val="1226A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37"/>
    <w:rsid w:val="00002A03"/>
    <w:rsid w:val="000B41F8"/>
    <w:rsid w:val="00120A95"/>
    <w:rsid w:val="003A4339"/>
    <w:rsid w:val="003F3DC1"/>
    <w:rsid w:val="0046571F"/>
    <w:rsid w:val="00525122"/>
    <w:rsid w:val="007677BB"/>
    <w:rsid w:val="00777E85"/>
    <w:rsid w:val="00923398"/>
    <w:rsid w:val="00A01338"/>
    <w:rsid w:val="00A9680B"/>
    <w:rsid w:val="00EA190D"/>
    <w:rsid w:val="00EC3737"/>
    <w:rsid w:val="00F1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84BE"/>
  <w15:chartTrackingRefBased/>
  <w15:docId w15:val="{9BF9F8CC-C521-483D-8A0A-4753F4CE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37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3F3DC1"/>
    <w:rPr>
      <w:color w:val="0000FF"/>
      <w:u w:val="single"/>
    </w:rPr>
  </w:style>
  <w:style w:type="table" w:styleId="Tabela-Siatka">
    <w:name w:val="Table Grid"/>
    <w:basedOn w:val="Standardowy"/>
    <w:uiPriority w:val="39"/>
    <w:rsid w:val="00A01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2452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A96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1tjqODkatjrlBQJoZojXFdgVYKtO0JpKukGWhu_SZaE/edit?usp=drive_open" TargetMode="External"/><Relationship Id="rId13" Type="http://schemas.openxmlformats.org/officeDocument/2006/relationships/hyperlink" Target="http://www.ue.wroc.pl/p/dzial_nauki/zalacznik_2_kryteria_naboru_pracownikow_naukowych_1.pdf" TargetMode="External"/><Relationship Id="rId18" Type="http://schemas.openxmlformats.org/officeDocument/2006/relationships/hyperlink" Target="http://www.ue.wroc.pl/p/dzial_nauki/zalacznik_7_formularz_dla_doktorantow_i_uczestnikow_programu_mlodzi_naukowcy__14_dniowe_badania_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forms/d/1rlSaD0ObZUQEv_ONDwLGtmHfwsq5p3AdZqkF2k3LLvY/edit" TargetMode="External"/><Relationship Id="rId12" Type="http://schemas.openxmlformats.org/officeDocument/2006/relationships/hyperlink" Target="mailto:joanna.marcinkowska@ue.wroc.pl" TargetMode="External"/><Relationship Id="rId17" Type="http://schemas.openxmlformats.org/officeDocument/2006/relationships/hyperlink" Target="http://www.ue.wroc.pl/p/dzial_nauki/zalacznik_6_formularz_dla_doktorantow_i_pracownikow_naukowych_uew__30_dniowy_staz_naukowy_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e.wroc.pl/p/dzial_nauki/zalacznik_5_formularz_dla_doktorantow_i_pracownikow_naukowych_ue__10_dniowe_badania_.pdf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ue.wroc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e.wroc.pl/p/dzial_nauki/zalacznik_4_formularz_dla_doktorantow__6_dniowa_konferencja_.pdf" TargetMode="External"/><Relationship Id="rId10" Type="http://schemas.openxmlformats.org/officeDocument/2006/relationships/hyperlink" Target="https://docs.google.com/forms/d/19LRoa6vjkbt6S2BI0Q7-UGBurnjEd_N5bCmwnOnAOa4/edit" TargetMode="External"/><Relationship Id="rId19" Type="http://schemas.openxmlformats.org/officeDocument/2006/relationships/hyperlink" Target="http://www.ue.wroc.pl/p/dzial_nauki/zalacznik_8_wzor_umowy_z_uczestnikiem_projekt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H2DOH3zPnTkfVCZQmXIyqMu1Zlr5HOFhnNkE__wTgQc/edit" TargetMode="External"/><Relationship Id="rId14" Type="http://schemas.openxmlformats.org/officeDocument/2006/relationships/hyperlink" Target="http://www.ue.wroc.pl/p/dzial_nauki/zk_4._zalacznik_3_stawki_ryczaltowe_czarno-zolte_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D5964-9FB7-49D5-8C17-04AFA6DE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733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ST05829</dc:creator>
  <cp:keywords/>
  <dc:description/>
  <cp:lastModifiedBy>Adam Grudziński</cp:lastModifiedBy>
  <cp:revision>6</cp:revision>
  <dcterms:created xsi:type="dcterms:W3CDTF">2019-04-11T09:03:00Z</dcterms:created>
  <dcterms:modified xsi:type="dcterms:W3CDTF">2019-10-28T13:54:00Z</dcterms:modified>
</cp:coreProperties>
</file>