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3F3DC1" w:rsidRDefault="003F3DC1">
      <w:pPr>
        <w:rPr>
          <w:rFonts w:cstheme="minorHAnsi"/>
          <w:color w:val="FFFF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15439"/>
            <wp:effectExtent l="0" t="0" r="0" b="8890"/>
            <wp:docPr id="4" name="Obraz 4" descr="prom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_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0D" w:rsidRPr="00DD63A8" w:rsidRDefault="005443B4" w:rsidP="00EA190D">
      <w:pPr>
        <w:tabs>
          <w:tab w:val="left" w:pos="1905"/>
        </w:tabs>
        <w:rPr>
          <w:rStyle w:val="Pogrubienie"/>
          <w:rFonts w:asciiTheme="majorHAnsi" w:hAnsiTheme="majorHAnsi"/>
          <w:color w:val="FFFF00"/>
          <w:sz w:val="36"/>
          <w:szCs w:val="36"/>
          <w:highlight w:val="black"/>
          <w:shd w:val="clear" w:color="auto" w:fill="FFFFFF"/>
        </w:rPr>
      </w:pPr>
      <w:r w:rsidRPr="00DD63A8">
        <w:rPr>
          <w:rStyle w:val="Pogrubienie"/>
          <w:rFonts w:asciiTheme="majorHAnsi" w:hAnsiTheme="majorHAnsi"/>
          <w:color w:val="FFFF00"/>
          <w:sz w:val="36"/>
          <w:szCs w:val="36"/>
          <w:highlight w:val="black"/>
          <w:shd w:val="clear" w:color="auto" w:fill="FFFFFF"/>
        </w:rPr>
        <w:t>W</w:t>
      </w:r>
      <w:r w:rsidR="00DD63A8" w:rsidRPr="00DD63A8">
        <w:rPr>
          <w:rStyle w:val="Pogrubienie"/>
          <w:rFonts w:asciiTheme="majorHAnsi" w:hAnsiTheme="majorHAnsi"/>
          <w:color w:val="FFFF00"/>
          <w:sz w:val="36"/>
          <w:szCs w:val="36"/>
          <w:highlight w:val="black"/>
          <w:shd w:val="clear" w:color="auto" w:fill="FFFFFF"/>
        </w:rPr>
        <w:t>yniki drugiej rekrutacji do programu PROM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823A09" w:rsidRPr="00823A09" w:rsidTr="00823A09">
        <w:trPr>
          <w:trHeight w:val="773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DD63A8" w:rsidRDefault="00823A09" w:rsidP="000B41F8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FFFF00"/>
                <w:sz w:val="32"/>
                <w:szCs w:val="32"/>
                <w:highlight w:val="black"/>
              </w:rPr>
            </w:pPr>
            <w:r w:rsidRPr="00DD63A8">
              <w:rPr>
                <w:rStyle w:val="Pogrubienie"/>
                <w:rFonts w:asciiTheme="majorHAnsi" w:hAnsi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FORMA  WYJAZDU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DD63A8" w:rsidRDefault="005443B4" w:rsidP="00823A09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63A8">
              <w:rPr>
                <w:rStyle w:val="Pogrubienie"/>
                <w:rFonts w:asciiTheme="majorHAnsi" w:hAnsi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LISTA PRZYJĘTYCH UCZEST</w:t>
            </w:r>
            <w:r w:rsidR="00823A09" w:rsidRPr="00DD63A8">
              <w:rPr>
                <w:rStyle w:val="Pogrubienie"/>
                <w:rFonts w:asciiTheme="majorHAnsi" w:hAnsi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NIKÓW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DD63A8" w:rsidRDefault="00823A09" w:rsidP="00BB7841">
            <w:pPr>
              <w:tabs>
                <w:tab w:val="left" w:pos="1905"/>
              </w:tabs>
              <w:rPr>
                <w:rFonts w:asciiTheme="majorHAnsi" w:hAnsiTheme="majorHAnsi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63A8">
              <w:rPr>
                <w:rStyle w:val="Pogrubienie"/>
                <w:rFonts w:asciiTheme="majorHAnsi" w:hAnsiTheme="majorHAnsi"/>
                <w:color w:val="FFFF00"/>
                <w:sz w:val="32"/>
                <w:szCs w:val="32"/>
                <w:highlight w:val="black"/>
                <w:shd w:val="clear" w:color="auto" w:fill="FFFFFF"/>
              </w:rPr>
              <w:t>LISTA REZERWOWA</w:t>
            </w:r>
          </w:p>
        </w:tc>
      </w:tr>
      <w:tr w:rsidR="005443B4" w:rsidRPr="00525122" w:rsidTr="00823A09">
        <w:trPr>
          <w:trHeight w:val="422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5443B4" w:rsidRPr="005443B4" w:rsidRDefault="005443B4" w:rsidP="00BB7841">
            <w:pPr>
              <w:tabs>
                <w:tab w:val="left" w:pos="1905"/>
              </w:tabs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30-dniowy staż naukowy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5443B4" w:rsidRPr="005443B4" w:rsidRDefault="005443B4" w:rsidP="00BB7841">
            <w:pPr>
              <w:tabs>
                <w:tab w:val="left" w:pos="1905"/>
              </w:tabs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</w:t>
            </w: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:</w:t>
            </w:r>
          </w:p>
          <w:p w:rsidR="005443B4" w:rsidRPr="005443B4" w:rsidRDefault="005443B4" w:rsidP="00BB7841">
            <w:pPr>
              <w:tabs>
                <w:tab w:val="left" w:pos="1905"/>
              </w:tabs>
              <w:rPr>
                <w:rFonts w:asciiTheme="majorHAnsi" w:eastAsia="Times New Roman" w:hAnsiTheme="majorHAnsi" w:cs="Times New Roman"/>
                <w:b/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5443B4" w:rsidRPr="005443B4" w:rsidRDefault="005443B4" w:rsidP="00BB7841">
            <w:pPr>
              <w:tabs>
                <w:tab w:val="left" w:pos="1905"/>
              </w:tabs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P2</w:t>
            </w:r>
            <w:bookmarkStart w:id="0" w:name="_GoBack"/>
            <w:bookmarkEnd w:id="0"/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/D/02</w:t>
            </w:r>
          </w:p>
          <w:p w:rsidR="005443B4" w:rsidRPr="005443B4" w:rsidRDefault="005443B4" w:rsidP="00BB7841">
            <w:pPr>
              <w:tabs>
                <w:tab w:val="left" w:pos="1905"/>
              </w:tabs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2. P2/D/09</w:t>
            </w:r>
          </w:p>
          <w:p w:rsidR="005443B4" w:rsidRPr="005443B4" w:rsidRDefault="005443B4" w:rsidP="00BB7841">
            <w:pPr>
              <w:tabs>
                <w:tab w:val="left" w:pos="1905"/>
              </w:tabs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3. P2/D/05</w:t>
            </w: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5443B4" w:rsidRPr="005443B4" w:rsidRDefault="005443B4" w:rsidP="00BB7841">
            <w:pPr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Doktoranci:</w:t>
            </w:r>
          </w:p>
          <w:p w:rsidR="005443B4" w:rsidRPr="005443B4" w:rsidRDefault="005443B4" w:rsidP="00BB7841">
            <w:pPr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</w:p>
          <w:p w:rsidR="005443B4" w:rsidRPr="005443B4" w:rsidRDefault="005443B4" w:rsidP="00BB7841">
            <w:pPr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P2/D/07</w:t>
            </w: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2. P2/D/06</w:t>
            </w: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3. P2/D/11</w:t>
            </w:r>
          </w:p>
          <w:p w:rsidR="005443B4" w:rsidRPr="005443B4" w:rsidRDefault="005443B4" w:rsidP="00BB7841">
            <w:pPr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</w:p>
          <w:p w:rsidR="005443B4" w:rsidRPr="005443B4" w:rsidRDefault="005443B4" w:rsidP="00BB7841">
            <w:pPr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Młodzi Naukowcy:</w:t>
            </w:r>
          </w:p>
          <w:p w:rsidR="005443B4" w:rsidRPr="005443B4" w:rsidRDefault="005443B4" w:rsidP="00BB7841">
            <w:pPr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P2/MN/01</w:t>
            </w:r>
          </w:p>
        </w:tc>
      </w:tr>
      <w:tr w:rsidR="005443B4" w:rsidRPr="00525122" w:rsidTr="00823A09">
        <w:trPr>
          <w:trHeight w:val="422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5443B4" w:rsidRPr="005443B4" w:rsidRDefault="005443B4" w:rsidP="00BB7841">
            <w:pPr>
              <w:tabs>
                <w:tab w:val="left" w:pos="1905"/>
              </w:tabs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14-dniowe badania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5443B4" w:rsidRPr="005443B4" w:rsidRDefault="005443B4" w:rsidP="00BB7841">
            <w:pPr>
              <w:tabs>
                <w:tab w:val="left" w:pos="1905"/>
              </w:tabs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Doktoranci:</w:t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P2/D/04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5443B4" w:rsidRPr="005443B4" w:rsidRDefault="005443B4" w:rsidP="00BB7841">
            <w:pPr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</w:p>
        </w:tc>
      </w:tr>
      <w:tr w:rsidR="00823A09" w:rsidRPr="00525122" w:rsidTr="00823A09">
        <w:trPr>
          <w:trHeight w:val="422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5443B4" w:rsidRDefault="00823A09" w:rsidP="00BB7841">
            <w:pPr>
              <w:tabs>
                <w:tab w:val="left" w:pos="1905"/>
              </w:tabs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10-dniowe badania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5443B4" w:rsidRDefault="005443B4" w:rsidP="00BB7841">
            <w:pPr>
              <w:tabs>
                <w:tab w:val="left" w:pos="1905"/>
              </w:tabs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Doktoranci:</w:t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P2/D/01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5443B4" w:rsidRDefault="005443B4" w:rsidP="005443B4">
            <w:pPr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Doktoranci:</w:t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P2/D/08</w:t>
            </w:r>
          </w:p>
        </w:tc>
      </w:tr>
      <w:tr w:rsidR="00823A09" w:rsidRPr="00525122" w:rsidTr="00823A09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5443B4" w:rsidRDefault="00823A09" w:rsidP="00BB7841">
            <w:pPr>
              <w:tabs>
                <w:tab w:val="left" w:pos="1905"/>
              </w:tabs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6-dniowe konferencje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5443B4" w:rsidRDefault="005443B4" w:rsidP="00823A09">
            <w:pPr>
              <w:tabs>
                <w:tab w:val="left" w:pos="1905"/>
              </w:tabs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 Doktoranci:</w:t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P2/D/10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823A09" w:rsidRPr="005443B4" w:rsidRDefault="005443B4" w:rsidP="005443B4">
            <w:pPr>
              <w:tabs>
                <w:tab w:val="left" w:pos="1905"/>
              </w:tabs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Doktoranci:</w:t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</w:rPr>
              <w:br/>
            </w:r>
            <w:r w:rsidRPr="005443B4">
              <w:rPr>
                <w:rFonts w:asciiTheme="majorHAnsi" w:hAnsiTheme="majorHAnsi" w:cstheme="majorHAnsi"/>
                <w:b/>
                <w:color w:val="FFFF00"/>
                <w:sz w:val="32"/>
                <w:szCs w:val="32"/>
                <w:highlight w:val="black"/>
                <w:shd w:val="clear" w:color="auto" w:fill="FFFFFF"/>
              </w:rPr>
              <w:t>1. P2/D/03</w:t>
            </w:r>
          </w:p>
        </w:tc>
      </w:tr>
      <w:tr w:rsidR="00823A09" w:rsidTr="00823A09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</w:tcBorders>
          </w:tcPr>
          <w:p w:rsidR="00823A09" w:rsidRPr="00525122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7" w:type="pct"/>
            <w:tcBorders>
              <w:top w:val="single" w:sz="4" w:space="0" w:color="FFC000" w:themeColor="accent4"/>
            </w:tcBorders>
          </w:tcPr>
          <w:p w:rsidR="00823A09" w:rsidRPr="00525122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6" w:type="pct"/>
            <w:tcBorders>
              <w:top w:val="single" w:sz="4" w:space="0" w:color="FFC000" w:themeColor="accent4"/>
            </w:tcBorders>
          </w:tcPr>
          <w:p w:rsidR="00823A09" w:rsidRDefault="00823A09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9680B" w:rsidRPr="00173101" w:rsidRDefault="00823A09" w:rsidP="00823A09">
      <w:pPr>
        <w:tabs>
          <w:tab w:val="left" w:pos="1905"/>
        </w:tabs>
        <w:rPr>
          <w:color w:val="FFFF00"/>
          <w:sz w:val="32"/>
          <w:szCs w:val="32"/>
          <w:highlight w:val="black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O dalszych krokach związanych z wyjazdem zakwalifikowani uczestnicy zostaną poinformowani mailowo.</w:t>
      </w:r>
      <w:r w:rsidRPr="00173101">
        <w:rPr>
          <w:color w:val="FFFF00"/>
          <w:sz w:val="32"/>
          <w:szCs w:val="32"/>
          <w:highlight w:val="black"/>
        </w:rPr>
        <w:t xml:space="preserve"> </w:t>
      </w:r>
    </w:p>
    <w:p w:rsidR="00823A09" w:rsidRPr="00173101" w:rsidRDefault="00823A09" w:rsidP="00823A09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1. W trakcie 3 pierwszych naborów na wyjazdy w ramach 2 edycji Programu PROM, w pierwszej kolejności przyjmowani będą Wnioskodawcy, którzy nie korzystali z finansowania w </w:t>
      </w: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lastRenderedPageBreak/>
        <w:t>poprzedniej edycji Programu. Ze zgłoszeń Uczestników poprzedniej edycji Programu PROM tworzone będą rezerwowe listy rankingowe.</w:t>
      </w:r>
    </w:p>
    <w:p w:rsidR="00823A09" w:rsidRPr="00173101" w:rsidRDefault="00823A09" w:rsidP="00823A09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2. W przypadku niewystarczającej liczby zgłoszeń nowych Uczestników, po trzecim naborze na wolne miejsca przyjmowane będą osoby z kolejnych list rezerwowych tworzonych przy każdej rekrutacji, zgodnie z posiadaną pozycją na liście rankingowej.</w:t>
      </w:r>
    </w:p>
    <w:p w:rsidR="00173101" w:rsidRPr="00173101" w:rsidRDefault="00173101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Kandydaci zostali zakwalifikowani z uwzględnieniem zasad równości szans i niedyskryminacji w rozumieniu Wytycznych w zakresie realizacji zasady równości szans i niedyskryminacji, w tym dostępności dla osób z niepełnosprawnościami oraz zasady równości szans kobiet i mężczyzn w ramach funduszy unijnych na lata 2014-2020.</w:t>
      </w:r>
    </w:p>
    <w:p w:rsidR="00173101" w:rsidRPr="00173101" w:rsidRDefault="00173101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shd w:val="clear" w:color="auto" w:fill="FFFFFF"/>
        </w:rPr>
      </w:pPr>
      <w:r w:rsidRPr="0017310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W przypadku jakichkolwiek wątpliwości zachęcamy do kontaktu: cobn@ue.wroc.pl</w:t>
      </w:r>
    </w:p>
    <w:p w:rsidR="000B41F8" w:rsidRP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Fonts w:ascii="Tahoma" w:hAnsi="Tahoma" w:cs="Tahoma"/>
          <w:color w:val="FFFF00"/>
          <w:sz w:val="32"/>
          <w:szCs w:val="32"/>
          <w:highlight w:val="black"/>
          <w:shd w:val="clear" w:color="auto" w:fill="FFFFFF"/>
        </w:rPr>
        <w:t>Projekt jest finansowany z funduszy Unii Europejskiej, w tym Europejskiego Funduszu Społecznego.</w:t>
      </w:r>
    </w:p>
    <w:p w:rsidR="00120A95" w:rsidRPr="00A9680B" w:rsidRDefault="00120A95">
      <w:pPr>
        <w:tabs>
          <w:tab w:val="left" w:pos="1905"/>
        </w:tabs>
        <w:rPr>
          <w:rFonts w:cstheme="minorHAnsi"/>
          <w:b/>
          <w:color w:val="FFFF0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0720" cy="684086"/>
            <wp:effectExtent l="0" t="0" r="0" b="1905"/>
            <wp:docPr id="5" name="Obraz 5" descr="_resized_800x95_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resized_800x95_power_e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A95" w:rsidRPr="00A9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D30"/>
    <w:multiLevelType w:val="hybridMultilevel"/>
    <w:tmpl w:val="B0C2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233F"/>
    <w:multiLevelType w:val="hybridMultilevel"/>
    <w:tmpl w:val="FCAA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35D3A"/>
    <w:multiLevelType w:val="hybridMultilevel"/>
    <w:tmpl w:val="7562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E0B0D"/>
    <w:multiLevelType w:val="hybridMultilevel"/>
    <w:tmpl w:val="1226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7"/>
    <w:rsid w:val="00002A03"/>
    <w:rsid w:val="000B41F8"/>
    <w:rsid w:val="00120A95"/>
    <w:rsid w:val="00173101"/>
    <w:rsid w:val="003A4339"/>
    <w:rsid w:val="003F3DC1"/>
    <w:rsid w:val="0046571F"/>
    <w:rsid w:val="00525122"/>
    <w:rsid w:val="005443B4"/>
    <w:rsid w:val="007677BB"/>
    <w:rsid w:val="00777E85"/>
    <w:rsid w:val="00823A09"/>
    <w:rsid w:val="00923398"/>
    <w:rsid w:val="00A01338"/>
    <w:rsid w:val="00A9680B"/>
    <w:rsid w:val="00DD63A8"/>
    <w:rsid w:val="00EA190D"/>
    <w:rsid w:val="00EC3737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19E83F5C"/>
  <w15:chartTrackingRefBased/>
  <w15:docId w15:val="{9BF9F8CC-C521-483D-8A0A-4753F4CE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7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3DC1"/>
    <w:rPr>
      <w:color w:val="0000FF"/>
      <w:u w:val="single"/>
    </w:rPr>
  </w:style>
  <w:style w:type="table" w:styleId="Tabela-Siatka">
    <w:name w:val="Table Grid"/>
    <w:basedOn w:val="Standardowy"/>
    <w:uiPriority w:val="39"/>
    <w:rsid w:val="00A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4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96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2E64-9F79-447C-9E7E-13D9BD02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Adam Grudziński</cp:lastModifiedBy>
  <cp:revision>8</cp:revision>
  <dcterms:created xsi:type="dcterms:W3CDTF">2019-04-11T09:03:00Z</dcterms:created>
  <dcterms:modified xsi:type="dcterms:W3CDTF">2019-12-09T07:21:00Z</dcterms:modified>
</cp:coreProperties>
</file>